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58468" w14:textId="77777777" w:rsidR="00884C89" w:rsidRDefault="006E50BD" w:rsidP="00884C89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73B95872" w14:textId="26445415" w:rsidR="006E50BD" w:rsidRPr="00170FFE" w:rsidRDefault="006E50BD" w:rsidP="00884C89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Temeljem članka 76</w:t>
      </w:r>
      <w:r w:rsidR="00170FFE" w:rsidRPr="00170FFE">
        <w:rPr>
          <w:lang w:val="hr-HR"/>
        </w:rPr>
        <w:t>.</w:t>
      </w:r>
      <w:r w:rsidR="006170AC">
        <w:rPr>
          <w:lang w:val="hr-HR"/>
        </w:rPr>
        <w:t xml:space="preserve">, 77., 78., 79. stavak 1 i 3, 80. stavak 2 i 3. </w:t>
      </w:r>
      <w:r w:rsidRPr="00170FFE">
        <w:rPr>
          <w:lang w:val="hr-HR"/>
        </w:rPr>
        <w:t>Zakona o proračunu (Narodne novine</w:t>
      </w:r>
      <w:r w:rsidR="006170AC">
        <w:rPr>
          <w:lang w:val="hr-HR"/>
        </w:rPr>
        <w:t xml:space="preserve"> </w:t>
      </w:r>
      <w:r w:rsidRPr="00170FFE">
        <w:rPr>
          <w:lang w:val="hr-HR"/>
        </w:rPr>
        <w:t xml:space="preserve">144/21) te Pravilnika o polugodišnjem i godišnjem </w:t>
      </w:r>
      <w:r w:rsidR="00496494">
        <w:rPr>
          <w:lang w:val="hr-HR"/>
        </w:rPr>
        <w:t xml:space="preserve">izvještaju i </w:t>
      </w:r>
      <w:r w:rsidRPr="00170FFE">
        <w:rPr>
          <w:lang w:val="hr-HR"/>
        </w:rPr>
        <w:t>izvršenju proračuna</w:t>
      </w:r>
      <w:r w:rsidR="00496494">
        <w:rPr>
          <w:lang w:val="hr-HR"/>
        </w:rPr>
        <w:t xml:space="preserve"> i financijskog plana</w:t>
      </w:r>
      <w:r w:rsidRPr="00170FFE">
        <w:rPr>
          <w:lang w:val="hr-HR"/>
        </w:rPr>
        <w:t xml:space="preserve"> (Narodne novine </w:t>
      </w:r>
      <w:r w:rsidR="00496494">
        <w:rPr>
          <w:lang w:val="hr-HR"/>
        </w:rPr>
        <w:t>85/23</w:t>
      </w:r>
      <w:r w:rsidRPr="00170FFE">
        <w:rPr>
          <w:lang w:val="hr-HR"/>
        </w:rPr>
        <w:t xml:space="preserve">) Općinsko vijeće Općine Dubrava na svojoj </w:t>
      </w:r>
      <w:r w:rsidR="00994DD3">
        <w:rPr>
          <w:lang w:val="hr-HR"/>
        </w:rPr>
        <w:t>8.</w:t>
      </w:r>
      <w:r w:rsidRPr="00170FFE">
        <w:rPr>
          <w:lang w:val="hr-HR"/>
        </w:rPr>
        <w:t xml:space="preserve"> sjednici održanoj dana </w:t>
      </w:r>
      <w:r w:rsidR="00994DD3">
        <w:rPr>
          <w:lang w:val="hr-HR"/>
        </w:rPr>
        <w:t>30. travnja 2026</w:t>
      </w:r>
      <w:r w:rsidR="00DC3039">
        <w:rPr>
          <w:lang w:val="hr-HR"/>
        </w:rPr>
        <w:t>.</w:t>
      </w:r>
      <w:r w:rsidRPr="00170FFE">
        <w:rPr>
          <w:lang w:val="hr-HR"/>
        </w:rPr>
        <w:t xml:space="preserve"> godine</w:t>
      </w:r>
      <w:r w:rsidR="00884C89">
        <w:rPr>
          <w:lang w:val="hr-HR"/>
        </w:rPr>
        <w:t xml:space="preserve">  </w:t>
      </w:r>
      <w:r w:rsidRPr="00170FFE">
        <w:rPr>
          <w:lang w:val="hr-HR"/>
        </w:rPr>
        <w:t>d o n i j e l o  j e</w:t>
      </w:r>
    </w:p>
    <w:p w14:paraId="2882F005" w14:textId="253ECA49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</w:p>
    <w:p w14:paraId="6887D97A" w14:textId="77777777" w:rsidR="0015150E" w:rsidRDefault="0015150E" w:rsidP="006450DB">
      <w:pPr>
        <w:spacing w:after="0" w:line="240" w:lineRule="auto"/>
        <w:jc w:val="center"/>
        <w:rPr>
          <w:b/>
          <w:bCs/>
          <w:sz w:val="28"/>
          <w:szCs w:val="28"/>
          <w:lang w:val="hr-HR"/>
        </w:rPr>
      </w:pPr>
    </w:p>
    <w:p w14:paraId="423ECB27" w14:textId="635116FE" w:rsidR="006450DB" w:rsidRPr="00170FFE" w:rsidRDefault="006450DB" w:rsidP="006450DB">
      <w:pPr>
        <w:spacing w:after="0" w:line="240" w:lineRule="auto"/>
        <w:jc w:val="center"/>
        <w:rPr>
          <w:b/>
          <w:bCs/>
          <w:lang w:val="hr-HR"/>
        </w:rPr>
      </w:pPr>
      <w:r w:rsidRPr="00170FFE">
        <w:rPr>
          <w:b/>
          <w:bCs/>
          <w:sz w:val="28"/>
          <w:szCs w:val="28"/>
          <w:lang w:val="hr-HR"/>
        </w:rPr>
        <w:t>Obrazloženje g</w:t>
      </w:r>
      <w:r w:rsidR="006E50BD" w:rsidRPr="00170FFE">
        <w:rPr>
          <w:b/>
          <w:bCs/>
          <w:sz w:val="28"/>
          <w:szCs w:val="28"/>
          <w:lang w:val="hr-HR"/>
        </w:rPr>
        <w:t>odišnje</w:t>
      </w:r>
      <w:r w:rsidRPr="00170FFE">
        <w:rPr>
          <w:b/>
          <w:bCs/>
          <w:sz w:val="28"/>
          <w:szCs w:val="28"/>
          <w:lang w:val="hr-HR"/>
        </w:rPr>
        <w:t>g</w:t>
      </w:r>
      <w:r w:rsidR="006E50BD" w:rsidRPr="00170FFE">
        <w:rPr>
          <w:b/>
          <w:bCs/>
          <w:sz w:val="28"/>
          <w:szCs w:val="28"/>
          <w:lang w:val="hr-HR"/>
        </w:rPr>
        <w:t xml:space="preserve"> iz</w:t>
      </w:r>
      <w:bookmarkStart w:id="0" w:name="_GoBack"/>
      <w:bookmarkEnd w:id="0"/>
      <w:r w:rsidR="006E50BD" w:rsidRPr="00170FFE">
        <w:rPr>
          <w:b/>
          <w:bCs/>
          <w:sz w:val="28"/>
          <w:szCs w:val="28"/>
          <w:lang w:val="hr-HR"/>
        </w:rPr>
        <w:t>vješć</w:t>
      </w:r>
      <w:r w:rsidRPr="00170FFE">
        <w:rPr>
          <w:b/>
          <w:bCs/>
          <w:sz w:val="28"/>
          <w:szCs w:val="28"/>
          <w:lang w:val="hr-HR"/>
        </w:rPr>
        <w:t>a</w:t>
      </w:r>
      <w:r w:rsidR="006E50BD" w:rsidRPr="00170FFE">
        <w:rPr>
          <w:b/>
          <w:bCs/>
          <w:sz w:val="28"/>
          <w:szCs w:val="28"/>
          <w:lang w:val="hr-HR"/>
        </w:rPr>
        <w:t xml:space="preserve"> o izvršenju Proračuna Općine Dubrava za razdoblje 01.01. - 31.12.202</w:t>
      </w:r>
      <w:r w:rsidR="00057ADE">
        <w:rPr>
          <w:b/>
          <w:bCs/>
          <w:sz w:val="28"/>
          <w:szCs w:val="28"/>
          <w:lang w:val="hr-HR"/>
        </w:rPr>
        <w:t>5</w:t>
      </w:r>
      <w:r w:rsidR="006E50BD" w:rsidRPr="00170FFE">
        <w:rPr>
          <w:b/>
          <w:bCs/>
          <w:sz w:val="28"/>
          <w:szCs w:val="28"/>
          <w:lang w:val="hr-HR"/>
        </w:rPr>
        <w:t>. godine</w:t>
      </w:r>
    </w:p>
    <w:p w14:paraId="7E04811D" w14:textId="1B8B9774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0660B004" w14:textId="27720E07" w:rsidR="006E50BD" w:rsidRPr="00170FFE" w:rsidRDefault="006E50BD" w:rsidP="006450DB">
      <w:pPr>
        <w:spacing w:after="0" w:line="240" w:lineRule="auto"/>
        <w:jc w:val="center"/>
        <w:rPr>
          <w:b/>
          <w:bCs/>
          <w:lang w:val="hr-HR"/>
        </w:rPr>
      </w:pPr>
      <w:r w:rsidRPr="00170FFE">
        <w:rPr>
          <w:b/>
          <w:bCs/>
          <w:lang w:val="hr-HR"/>
        </w:rPr>
        <w:t>Članak 1.</w:t>
      </w:r>
    </w:p>
    <w:p w14:paraId="464D3C1B" w14:textId="51C65D92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Godišnji izvještaj o izvršenju Proračuna Općine Dubrava za razdoblje 01.01. do 31.12.202</w:t>
      </w:r>
      <w:r w:rsidR="00057ADE">
        <w:rPr>
          <w:lang w:val="hr-HR"/>
        </w:rPr>
        <w:t>5</w:t>
      </w:r>
      <w:r w:rsidRPr="00170FFE">
        <w:rPr>
          <w:lang w:val="hr-HR"/>
        </w:rPr>
        <w:t>. godine sadrži:</w:t>
      </w:r>
    </w:p>
    <w:p w14:paraId="1C07A98F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opći dio</w:t>
      </w:r>
    </w:p>
    <w:p w14:paraId="6D008CF1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posebni dio</w:t>
      </w:r>
    </w:p>
    <w:p w14:paraId="492BEA05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 xml:space="preserve">- obrazloženje godišnjeg izvještaja o izvršenju proračuna </w:t>
      </w:r>
    </w:p>
    <w:p w14:paraId="361016B8" w14:textId="77777777" w:rsidR="006450DB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posebne izvještaje</w:t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66FE253D" w14:textId="495BD5A9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52B380FA" w14:textId="74578686" w:rsidR="006E50BD" w:rsidRPr="00170FFE" w:rsidRDefault="006E50BD" w:rsidP="006450DB">
      <w:pPr>
        <w:spacing w:after="0" w:line="240" w:lineRule="auto"/>
        <w:jc w:val="center"/>
        <w:rPr>
          <w:b/>
          <w:bCs/>
          <w:lang w:val="hr-HR"/>
        </w:rPr>
      </w:pPr>
      <w:r w:rsidRPr="00170FFE">
        <w:rPr>
          <w:b/>
          <w:bCs/>
          <w:lang w:val="hr-HR"/>
        </w:rPr>
        <w:t>OPĆI DIO</w:t>
      </w:r>
    </w:p>
    <w:p w14:paraId="6AB0DE90" w14:textId="13AD5834" w:rsidR="006E50BD" w:rsidRPr="00170FFE" w:rsidRDefault="006E50BD" w:rsidP="006450DB">
      <w:pPr>
        <w:spacing w:after="0" w:line="240" w:lineRule="auto"/>
        <w:jc w:val="center"/>
        <w:rPr>
          <w:b/>
          <w:bCs/>
          <w:lang w:val="hr-HR"/>
        </w:rPr>
      </w:pPr>
      <w:r w:rsidRPr="00170FFE">
        <w:rPr>
          <w:b/>
          <w:bCs/>
          <w:lang w:val="hr-HR"/>
        </w:rPr>
        <w:t>Članak 2.</w:t>
      </w:r>
    </w:p>
    <w:p w14:paraId="1E571F8B" w14:textId="44345471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0F61DA30" w14:textId="7C1D77B6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Opći dio godišnjeg izvještaja o izvršenju proračuna sadrži sažetak Računa prihoda i rashoda i Računa financiranja</w:t>
      </w:r>
    </w:p>
    <w:p w14:paraId="37FC09E0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 xml:space="preserve">- Račun prihoda i rashoda i </w:t>
      </w:r>
    </w:p>
    <w:p w14:paraId="5B13B72E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Račun financiranja</w:t>
      </w:r>
    </w:p>
    <w:p w14:paraId="7CFFFAE3" w14:textId="323369B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1F408254" w14:textId="1FAD25C9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 xml:space="preserve">Proračun Općine Dubrava (Glasnik Zagrebačke županije </w:t>
      </w:r>
      <w:r w:rsidR="009313B7">
        <w:rPr>
          <w:lang w:val="hr-HR"/>
        </w:rPr>
        <w:t>58/24</w:t>
      </w:r>
      <w:r w:rsidRPr="00170FFE">
        <w:rPr>
          <w:lang w:val="hr-HR"/>
        </w:rPr>
        <w:t xml:space="preserve">, </w:t>
      </w:r>
      <w:r w:rsidR="009313B7">
        <w:rPr>
          <w:lang w:val="hr-HR"/>
        </w:rPr>
        <w:t>41/25</w:t>
      </w:r>
      <w:r w:rsidRPr="00170FFE">
        <w:rPr>
          <w:lang w:val="hr-HR"/>
        </w:rPr>
        <w:t xml:space="preserve"> </w:t>
      </w:r>
      <w:r w:rsidR="009313B7">
        <w:rPr>
          <w:lang w:val="hr-HR"/>
        </w:rPr>
        <w:t>i 61/25</w:t>
      </w:r>
      <w:r w:rsidRPr="00170FFE">
        <w:rPr>
          <w:lang w:val="hr-HR"/>
        </w:rPr>
        <w:t>) za razdoblje 01.01. do 31.12.202</w:t>
      </w:r>
      <w:r w:rsidR="009313B7">
        <w:rPr>
          <w:lang w:val="hr-HR"/>
        </w:rPr>
        <w:t>5</w:t>
      </w:r>
      <w:r w:rsidRPr="00170FFE">
        <w:rPr>
          <w:lang w:val="hr-HR"/>
        </w:rPr>
        <w:t>. godine ostvaren je kako slijedi:</w:t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="009313B7">
        <w:rPr>
          <w:noProof/>
          <w:lang w:val="hr-HR"/>
        </w:rPr>
        <w:lastRenderedPageBreak/>
        <w:drawing>
          <wp:inline distT="0" distB="0" distL="0" distR="0" wp14:anchorId="508F64D6" wp14:editId="2668E196">
            <wp:extent cx="8892540" cy="1681480"/>
            <wp:effectExtent l="0" t="0" r="3810" b="0"/>
            <wp:docPr id="19102997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99729" name="Slika 19102997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05841334" w14:textId="15FF715E" w:rsidR="006450DB" w:rsidRPr="00170FFE" w:rsidRDefault="006450DB" w:rsidP="006450DB">
      <w:pPr>
        <w:spacing w:after="0" w:line="240" w:lineRule="auto"/>
        <w:rPr>
          <w:lang w:val="hr-HR"/>
        </w:rPr>
      </w:pPr>
    </w:p>
    <w:p w14:paraId="7FCC9AE3" w14:textId="77777777" w:rsidR="006450DB" w:rsidRPr="00170FFE" w:rsidRDefault="006450DB" w:rsidP="006450DB">
      <w:pPr>
        <w:spacing w:after="0" w:line="240" w:lineRule="auto"/>
        <w:rPr>
          <w:lang w:val="hr-HR"/>
        </w:rPr>
      </w:pPr>
    </w:p>
    <w:p w14:paraId="3325FADA" w14:textId="28B4D462" w:rsidR="006450DB" w:rsidRPr="00170FFE" w:rsidRDefault="006450DB" w:rsidP="002B4242">
      <w:pPr>
        <w:tabs>
          <w:tab w:val="left" w:pos="4973"/>
        </w:tabs>
        <w:jc w:val="both"/>
        <w:rPr>
          <w:lang w:val="hr-HR"/>
        </w:rPr>
      </w:pPr>
      <w:r w:rsidRPr="00170FFE">
        <w:rPr>
          <w:lang w:val="hr-HR"/>
        </w:rPr>
        <w:t>Godišnji obračun proračuna za 202</w:t>
      </w:r>
      <w:r w:rsidR="009313B7">
        <w:rPr>
          <w:lang w:val="hr-HR"/>
        </w:rPr>
        <w:t>5</w:t>
      </w:r>
      <w:r w:rsidRPr="00170FFE">
        <w:rPr>
          <w:lang w:val="hr-HR"/>
        </w:rPr>
        <w:t>. godinu sadrži prihode i primitke te rashode i izdatke Proračuna Općine Dubrava i njenog proračunskog korisnika Dječji vrtić Dubrava.</w:t>
      </w:r>
    </w:p>
    <w:p w14:paraId="63882C40" w14:textId="2E4BF4FA" w:rsidR="006450DB" w:rsidRDefault="006450DB" w:rsidP="002B4242">
      <w:pPr>
        <w:tabs>
          <w:tab w:val="left" w:pos="4973"/>
        </w:tabs>
        <w:jc w:val="both"/>
        <w:rPr>
          <w:lang w:val="hr-HR"/>
        </w:rPr>
      </w:pPr>
      <w:r w:rsidRPr="00170FFE">
        <w:rPr>
          <w:lang w:val="hr-HR"/>
        </w:rPr>
        <w:t>U razdoblju od 01.01. do 31.12.202</w:t>
      </w:r>
      <w:r w:rsidR="009313B7">
        <w:rPr>
          <w:lang w:val="hr-HR"/>
        </w:rPr>
        <w:t>5</w:t>
      </w:r>
      <w:r w:rsidRPr="00170FFE">
        <w:rPr>
          <w:lang w:val="hr-HR"/>
        </w:rPr>
        <w:t xml:space="preserve">. godine ostvareni su prihodi proračuna </w:t>
      </w:r>
      <w:r w:rsidR="00170FFE" w:rsidRPr="00170FFE">
        <w:rPr>
          <w:lang w:val="hr-HR"/>
        </w:rPr>
        <w:t xml:space="preserve">u ukupnoj vrijednosti </w:t>
      </w:r>
      <w:r w:rsidR="00170FFE">
        <w:rPr>
          <w:lang w:val="hr-HR"/>
        </w:rPr>
        <w:t xml:space="preserve">iznose </w:t>
      </w:r>
      <w:r w:rsidR="009313B7">
        <w:rPr>
          <w:lang w:val="hr-HR"/>
        </w:rPr>
        <w:t>4.676.939,13</w:t>
      </w:r>
      <w:r w:rsidR="00170FFE">
        <w:rPr>
          <w:lang w:val="hr-HR"/>
        </w:rPr>
        <w:t xml:space="preserve"> eura što je izvršenje </w:t>
      </w:r>
      <w:r w:rsidR="001823C1">
        <w:rPr>
          <w:lang w:val="hr-HR"/>
        </w:rPr>
        <w:t>99,27</w:t>
      </w:r>
      <w:r w:rsidR="00170FFE">
        <w:rPr>
          <w:lang w:val="hr-HR"/>
        </w:rPr>
        <w:t xml:space="preserve">% tekućeg plana te za </w:t>
      </w:r>
      <w:r w:rsidR="001823C1">
        <w:rPr>
          <w:lang w:val="hr-HR"/>
        </w:rPr>
        <w:t>35,05</w:t>
      </w:r>
      <w:r w:rsidR="00170FFE">
        <w:rPr>
          <w:lang w:val="hr-HR"/>
        </w:rPr>
        <w:t xml:space="preserve">% više nego izvršenje u prethodnoj godini. Ostvareni ukupni rashodi iznose </w:t>
      </w:r>
      <w:r w:rsidR="001823C1">
        <w:rPr>
          <w:lang w:val="hr-HR"/>
        </w:rPr>
        <w:t>6.063.139,61</w:t>
      </w:r>
      <w:r w:rsidR="00170FFE">
        <w:rPr>
          <w:lang w:val="hr-HR"/>
        </w:rPr>
        <w:t xml:space="preserve"> eura i oni su </w:t>
      </w:r>
      <w:r w:rsidR="001823C1">
        <w:rPr>
          <w:lang w:val="hr-HR"/>
        </w:rPr>
        <w:t>88,0</w:t>
      </w:r>
      <w:r w:rsidR="00170FFE">
        <w:rPr>
          <w:lang w:val="hr-HR"/>
        </w:rPr>
        <w:t>% izvršenje plana, dok su u odnosu na izvršene rashode u 202</w:t>
      </w:r>
      <w:r w:rsidR="001823C1">
        <w:rPr>
          <w:lang w:val="hr-HR"/>
        </w:rPr>
        <w:t>4</w:t>
      </w:r>
      <w:r w:rsidR="00170FFE">
        <w:rPr>
          <w:lang w:val="hr-HR"/>
        </w:rPr>
        <w:t xml:space="preserve">. godini veći za </w:t>
      </w:r>
      <w:r w:rsidR="001823C1">
        <w:rPr>
          <w:lang w:val="hr-HR"/>
        </w:rPr>
        <w:t>34,79</w:t>
      </w:r>
      <w:r w:rsidR="00170FFE">
        <w:rPr>
          <w:lang w:val="hr-HR"/>
        </w:rPr>
        <w:t>%. R</w:t>
      </w:r>
      <w:r w:rsidR="002B4242">
        <w:rPr>
          <w:lang w:val="hr-HR"/>
        </w:rPr>
        <w:t xml:space="preserve">azlika između prihoda i rashoda je manjak prihoda </w:t>
      </w:r>
      <w:r w:rsidR="00170FFE">
        <w:rPr>
          <w:lang w:val="hr-HR"/>
        </w:rPr>
        <w:t xml:space="preserve">u iznosu </w:t>
      </w:r>
      <w:r w:rsidR="001823C1">
        <w:rPr>
          <w:lang w:val="hr-HR"/>
        </w:rPr>
        <w:t>1.386.199,48</w:t>
      </w:r>
      <w:r w:rsidR="00170FFE">
        <w:rPr>
          <w:lang w:val="hr-HR"/>
        </w:rPr>
        <w:t xml:space="preserve"> eura</w:t>
      </w:r>
      <w:r w:rsidR="00D35656">
        <w:rPr>
          <w:lang w:val="hr-HR"/>
        </w:rPr>
        <w:t xml:space="preserve"> jer su se troškovi vezani uz projekt rekonstrukcije i dogradnje Dječjeg vrtića financirali iz odobrenog kredita koji je sastavni dio Računa zaduživanja/financiranja</w:t>
      </w:r>
      <w:r w:rsidR="00170FFE">
        <w:rPr>
          <w:lang w:val="hr-HR"/>
        </w:rPr>
        <w:t>.</w:t>
      </w:r>
    </w:p>
    <w:p w14:paraId="067BB3E7" w14:textId="73F6AF46" w:rsidR="00EA4AD3" w:rsidRDefault="00170FFE" w:rsidP="002B4242">
      <w:pPr>
        <w:tabs>
          <w:tab w:val="left" w:pos="4973"/>
        </w:tabs>
        <w:jc w:val="both"/>
        <w:rPr>
          <w:lang w:val="hr-HR"/>
        </w:rPr>
      </w:pPr>
      <w:r>
        <w:rPr>
          <w:lang w:val="hr-HR"/>
        </w:rPr>
        <w:t xml:space="preserve">Neto zaduživanje iz Računa financiranja u iznosu </w:t>
      </w:r>
      <w:r w:rsidR="001823C1">
        <w:rPr>
          <w:lang w:val="hr-HR"/>
        </w:rPr>
        <w:t>2.162.015,33</w:t>
      </w:r>
      <w:r>
        <w:rPr>
          <w:lang w:val="hr-HR"/>
        </w:rPr>
        <w:t xml:space="preserve"> eura odnosi se na</w:t>
      </w:r>
      <w:r w:rsidR="002B4242">
        <w:rPr>
          <w:lang w:val="hr-HR"/>
        </w:rPr>
        <w:t xml:space="preserve"> primitke od zaduživanja kod HBOR-a za Rekonstrukciju i dogradnju zgrade javne i društvene namjene – Dječji vrtić </w:t>
      </w:r>
      <w:r w:rsidR="001823C1">
        <w:rPr>
          <w:lang w:val="hr-HR"/>
        </w:rPr>
        <w:t>2.215.817,94</w:t>
      </w:r>
      <w:r w:rsidR="002B4242">
        <w:rPr>
          <w:lang w:val="hr-HR"/>
        </w:rPr>
        <w:t xml:space="preserve"> eura te izdataka za otplatu zajmova</w:t>
      </w:r>
      <w:r w:rsidR="001823C1">
        <w:rPr>
          <w:lang w:val="hr-HR"/>
        </w:rPr>
        <w:t xml:space="preserve">; 2 rate kredita za rekonstrukciju i dogradnju dječjeg vrtića i </w:t>
      </w:r>
      <w:r>
        <w:rPr>
          <w:lang w:val="hr-HR"/>
        </w:rPr>
        <w:t xml:space="preserve">sudjelovanje u kreditu poduzeća Komunalac Vrbovec d.o.o. </w:t>
      </w:r>
      <w:r w:rsidR="00500802">
        <w:rPr>
          <w:lang w:val="hr-HR"/>
        </w:rPr>
        <w:t xml:space="preserve">za sanaciju odlagališta „Beljavine“ </w:t>
      </w:r>
      <w:r>
        <w:rPr>
          <w:lang w:val="hr-HR"/>
        </w:rPr>
        <w:t xml:space="preserve">u kojem Općina Dubrava ima udio u vlasništvu od </w:t>
      </w:r>
      <w:r w:rsidR="00EA4AD3">
        <w:rPr>
          <w:lang w:val="hr-HR"/>
        </w:rPr>
        <w:t xml:space="preserve">15%. </w:t>
      </w:r>
      <w:r w:rsidR="002B4242">
        <w:rPr>
          <w:lang w:val="hr-HR"/>
        </w:rPr>
        <w:t>Izdaci za otplatu zajmova u 202</w:t>
      </w:r>
      <w:r w:rsidR="001823C1">
        <w:rPr>
          <w:lang w:val="hr-HR"/>
        </w:rPr>
        <w:t>5</w:t>
      </w:r>
      <w:r w:rsidR="002B4242">
        <w:rPr>
          <w:lang w:val="hr-HR"/>
        </w:rPr>
        <w:t xml:space="preserve">. godini iznosili su </w:t>
      </w:r>
      <w:r w:rsidR="001823C1">
        <w:rPr>
          <w:lang w:val="hr-HR"/>
        </w:rPr>
        <w:t>53.802,61</w:t>
      </w:r>
      <w:r w:rsidR="002B4242">
        <w:rPr>
          <w:lang w:val="hr-HR"/>
        </w:rPr>
        <w:t xml:space="preserve"> euro. </w:t>
      </w:r>
      <w:r w:rsidR="00EA4AD3">
        <w:rPr>
          <w:lang w:val="hr-HR"/>
        </w:rPr>
        <w:t>Općina Dubrava u 202</w:t>
      </w:r>
      <w:r w:rsidR="002B4242">
        <w:rPr>
          <w:lang w:val="hr-HR"/>
        </w:rPr>
        <w:t>3</w:t>
      </w:r>
      <w:r w:rsidR="00EA4AD3">
        <w:rPr>
          <w:lang w:val="hr-HR"/>
        </w:rPr>
        <w:t>. godini je započela radnje za zaduživanje kod Hrvatske banke za obnovu i razvoj (HBOR) Strossmayerov trg 9, Zagreb na iznos zaduženja 3.530.471,81 euro za financiranje projekta Rekonstrukcija i dogradnja zgrade javne i društvene</w:t>
      </w:r>
      <w:r w:rsidR="002B4242">
        <w:rPr>
          <w:lang w:val="hr-HR"/>
        </w:rPr>
        <w:t xml:space="preserve"> namjene -</w:t>
      </w:r>
      <w:r w:rsidR="00EA4AD3">
        <w:rPr>
          <w:lang w:val="hr-HR"/>
        </w:rPr>
        <w:t xml:space="preserve"> dječji vrtić. U 202</w:t>
      </w:r>
      <w:r w:rsidR="002B4242">
        <w:rPr>
          <w:lang w:val="hr-HR"/>
        </w:rPr>
        <w:t>4</w:t>
      </w:r>
      <w:r w:rsidR="00EA4AD3">
        <w:rPr>
          <w:lang w:val="hr-HR"/>
        </w:rPr>
        <w:t xml:space="preserve">. godini </w:t>
      </w:r>
      <w:r w:rsidR="002B4242">
        <w:rPr>
          <w:lang w:val="hr-HR"/>
        </w:rPr>
        <w:t xml:space="preserve">korišteno je 1.314.653,87 eura </w:t>
      </w:r>
      <w:r w:rsidR="00EA4AD3">
        <w:rPr>
          <w:lang w:val="hr-HR"/>
        </w:rPr>
        <w:t>sredstava po zaduženju</w:t>
      </w:r>
      <w:r w:rsidR="00563E67">
        <w:rPr>
          <w:lang w:val="hr-HR"/>
        </w:rPr>
        <w:t xml:space="preserve"> HBOR-a</w:t>
      </w:r>
      <w:r w:rsidR="001823C1">
        <w:rPr>
          <w:lang w:val="hr-HR"/>
        </w:rPr>
        <w:t>, dok je u 2025. godini iskorišten ostatak odobrenog kredita, 2.215.817,94 eura.</w:t>
      </w:r>
      <w:r w:rsidR="002B4242">
        <w:rPr>
          <w:lang w:val="hr-HR"/>
        </w:rPr>
        <w:t xml:space="preserve"> Otplata kredita </w:t>
      </w:r>
      <w:r w:rsidR="001823C1">
        <w:rPr>
          <w:lang w:val="hr-HR"/>
        </w:rPr>
        <w:t xml:space="preserve">započela je otplatom </w:t>
      </w:r>
      <w:r w:rsidR="002B4242">
        <w:rPr>
          <w:lang w:val="hr-HR"/>
        </w:rPr>
        <w:t>prve rate 30. studen</w:t>
      </w:r>
      <w:r w:rsidR="001823C1">
        <w:rPr>
          <w:lang w:val="hr-HR"/>
        </w:rPr>
        <w:t>og</w:t>
      </w:r>
      <w:r w:rsidR="002B4242">
        <w:rPr>
          <w:lang w:val="hr-HR"/>
        </w:rPr>
        <w:t xml:space="preserve"> 2025. godine</w:t>
      </w:r>
      <w:r w:rsidR="00D35656">
        <w:rPr>
          <w:lang w:val="hr-HR"/>
        </w:rPr>
        <w:t>.</w:t>
      </w:r>
    </w:p>
    <w:p w14:paraId="6AFC8818" w14:textId="375A98B0" w:rsidR="00D35656" w:rsidRDefault="00D35656" w:rsidP="002B4242">
      <w:pPr>
        <w:tabs>
          <w:tab w:val="left" w:pos="4973"/>
        </w:tabs>
        <w:jc w:val="both"/>
        <w:rPr>
          <w:lang w:val="hr-HR"/>
        </w:rPr>
      </w:pPr>
      <w:r>
        <w:rPr>
          <w:lang w:val="hr-HR"/>
        </w:rPr>
        <w:t xml:space="preserve">Rezultat godine je višak prihoda i primitaka </w:t>
      </w:r>
      <w:r w:rsidR="001823C1">
        <w:rPr>
          <w:lang w:val="hr-HR"/>
        </w:rPr>
        <w:t>775.815,85</w:t>
      </w:r>
      <w:r>
        <w:rPr>
          <w:lang w:val="hr-HR"/>
        </w:rPr>
        <w:t xml:space="preserve"> eur</w:t>
      </w:r>
      <w:r w:rsidR="001823C1">
        <w:rPr>
          <w:lang w:val="hr-HR"/>
        </w:rPr>
        <w:t>a</w:t>
      </w:r>
      <w:r>
        <w:rPr>
          <w:lang w:val="hr-HR"/>
        </w:rPr>
        <w:t>.</w:t>
      </w:r>
    </w:p>
    <w:p w14:paraId="3F4C6101" w14:textId="77777777" w:rsidR="00FE117C" w:rsidRDefault="00FE117C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52B0AE64" w14:textId="77777777" w:rsidR="00884C89" w:rsidRDefault="00884C89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44FD40F9" w14:textId="77777777" w:rsidR="00884C89" w:rsidRDefault="00884C89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53DAFDCE" w14:textId="77777777" w:rsidR="00884C89" w:rsidRDefault="00884C89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3D126708" w14:textId="77777777" w:rsidR="00884C89" w:rsidRDefault="00884C89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64F1A9EE" w14:textId="77777777" w:rsidR="00884C89" w:rsidRDefault="00884C89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76706B7D" w14:textId="77777777" w:rsidR="00884C89" w:rsidRPr="00FE117C" w:rsidRDefault="00884C89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53263CC4" w14:textId="24BDB1A4" w:rsidR="00FE117C" w:rsidRPr="00FE117C" w:rsidRDefault="00FE117C" w:rsidP="00FE117C">
      <w:pPr>
        <w:spacing w:after="0" w:line="240" w:lineRule="auto"/>
        <w:jc w:val="center"/>
        <w:rPr>
          <w:b/>
          <w:bCs/>
          <w:lang w:val="hr-HR"/>
        </w:rPr>
      </w:pPr>
      <w:r w:rsidRPr="00FE117C">
        <w:rPr>
          <w:b/>
          <w:bCs/>
          <w:lang w:val="hr-HR"/>
        </w:rPr>
        <w:t>Članak 3.</w:t>
      </w:r>
    </w:p>
    <w:p w14:paraId="73BDCEE2" w14:textId="77777777" w:rsidR="00FE117C" w:rsidRDefault="00FE117C" w:rsidP="00FE117C">
      <w:pPr>
        <w:tabs>
          <w:tab w:val="left" w:pos="4973"/>
        </w:tabs>
        <w:rPr>
          <w:lang w:val="hr-HR"/>
        </w:rPr>
      </w:pPr>
    </w:p>
    <w:p w14:paraId="1C91230A" w14:textId="77777777" w:rsidR="00FE117C" w:rsidRP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Račun prihoda i rashoda iskazuje se u sljedećim prikazima:</w:t>
      </w:r>
    </w:p>
    <w:p w14:paraId="06F9F594" w14:textId="77777777" w:rsidR="00FE117C" w:rsidRP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- prihodi i rashodi prema ekonomskoj klasifikaciji</w:t>
      </w:r>
    </w:p>
    <w:p w14:paraId="3E4ED20F" w14:textId="77777777" w:rsidR="00FE117C" w:rsidRP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- prihodi i rashodi prema izvorima financiranja</w:t>
      </w:r>
    </w:p>
    <w:p w14:paraId="23BCBFAC" w14:textId="70DD5221" w:rsid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- prihodi i rashodi prema funkcijskoj klasifikaciji</w:t>
      </w:r>
    </w:p>
    <w:p w14:paraId="235C0A0E" w14:textId="77777777" w:rsidR="00A27368" w:rsidRDefault="00A27368" w:rsidP="00FE117C">
      <w:pPr>
        <w:tabs>
          <w:tab w:val="left" w:pos="4973"/>
        </w:tabs>
        <w:spacing w:after="0" w:line="240" w:lineRule="auto"/>
        <w:rPr>
          <w:lang w:val="hr-HR"/>
        </w:rPr>
      </w:pPr>
    </w:p>
    <w:p w14:paraId="4AD607CA" w14:textId="333A027B" w:rsidR="00A27368" w:rsidRDefault="00A27368" w:rsidP="00FE117C">
      <w:pPr>
        <w:tabs>
          <w:tab w:val="left" w:pos="4973"/>
        </w:tabs>
        <w:spacing w:after="0" w:line="240" w:lineRule="auto"/>
        <w:rPr>
          <w:b/>
          <w:bCs/>
          <w:lang w:val="hr-HR"/>
        </w:rPr>
      </w:pPr>
      <w:r w:rsidRPr="00A27368">
        <w:rPr>
          <w:b/>
          <w:bCs/>
          <w:lang w:val="hr-HR"/>
        </w:rPr>
        <w:t>RAČUN PRIHODA I RASHODA PREMA EKONOMSKOJ KLASIFIKACIJI</w:t>
      </w:r>
    </w:p>
    <w:p w14:paraId="649A7E32" w14:textId="77777777" w:rsidR="00A27368" w:rsidRDefault="00A27368" w:rsidP="00FE117C">
      <w:pPr>
        <w:tabs>
          <w:tab w:val="left" w:pos="4973"/>
        </w:tabs>
        <w:spacing w:after="0" w:line="240" w:lineRule="auto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17"/>
        <w:gridCol w:w="1565"/>
        <w:gridCol w:w="1560"/>
        <w:gridCol w:w="1559"/>
        <w:gridCol w:w="1499"/>
        <w:gridCol w:w="1147"/>
        <w:gridCol w:w="1147"/>
      </w:tblGrid>
      <w:tr w:rsidR="00E22C2A" w:rsidRPr="00A27368" w14:paraId="158D691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1359898" w14:textId="59B025B6" w:rsidR="00E22C2A" w:rsidRPr="00A27368" w:rsidRDefault="00E22C2A" w:rsidP="00E22C2A">
            <w:pPr>
              <w:tabs>
                <w:tab w:val="left" w:pos="4973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565" w:type="dxa"/>
            <w:noWrap/>
            <w:vAlign w:val="bottom"/>
            <w:hideMark/>
          </w:tcPr>
          <w:p w14:paraId="602BD862" w14:textId="7F6CF3A1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560" w:type="dxa"/>
            <w:noWrap/>
            <w:vAlign w:val="bottom"/>
            <w:hideMark/>
          </w:tcPr>
          <w:p w14:paraId="0D19074A" w14:textId="422DB04B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Izvorni plan 2025.</w:t>
            </w:r>
          </w:p>
        </w:tc>
        <w:tc>
          <w:tcPr>
            <w:tcW w:w="1559" w:type="dxa"/>
            <w:noWrap/>
            <w:vAlign w:val="bottom"/>
            <w:hideMark/>
          </w:tcPr>
          <w:p w14:paraId="143953A3" w14:textId="0757452D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2025.</w:t>
            </w:r>
          </w:p>
        </w:tc>
        <w:tc>
          <w:tcPr>
            <w:tcW w:w="1499" w:type="dxa"/>
            <w:noWrap/>
            <w:vAlign w:val="bottom"/>
            <w:hideMark/>
          </w:tcPr>
          <w:p w14:paraId="764A5F11" w14:textId="00FCE461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2025.</w:t>
            </w:r>
          </w:p>
        </w:tc>
        <w:tc>
          <w:tcPr>
            <w:tcW w:w="1147" w:type="dxa"/>
            <w:noWrap/>
            <w:vAlign w:val="bottom"/>
            <w:hideMark/>
          </w:tcPr>
          <w:p w14:paraId="1E2DFAA0" w14:textId="161D0B0D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147" w:type="dxa"/>
            <w:noWrap/>
            <w:vAlign w:val="bottom"/>
            <w:hideMark/>
          </w:tcPr>
          <w:p w14:paraId="64F491E2" w14:textId="230C3130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E22C2A" w:rsidRPr="00A27368" w14:paraId="5279AE47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D045C1B" w14:textId="7CE982AC" w:rsidR="00E22C2A" w:rsidRPr="00A27368" w:rsidRDefault="00E22C2A" w:rsidP="00E22C2A">
            <w:pPr>
              <w:tabs>
                <w:tab w:val="left" w:pos="4973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565" w:type="dxa"/>
            <w:noWrap/>
            <w:vAlign w:val="bottom"/>
            <w:hideMark/>
          </w:tcPr>
          <w:p w14:paraId="5B4E7B15" w14:textId="2DAD8BCF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vAlign w:val="bottom"/>
            <w:hideMark/>
          </w:tcPr>
          <w:p w14:paraId="6CD4B775" w14:textId="2E38DFF9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378EF3BF" w14:textId="122BC415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499" w:type="dxa"/>
            <w:noWrap/>
            <w:vAlign w:val="bottom"/>
            <w:hideMark/>
          </w:tcPr>
          <w:p w14:paraId="0229C420" w14:textId="1DFC29BC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147" w:type="dxa"/>
            <w:noWrap/>
            <w:vAlign w:val="bottom"/>
            <w:hideMark/>
          </w:tcPr>
          <w:p w14:paraId="1755BC05" w14:textId="5B15FB49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147" w:type="dxa"/>
            <w:noWrap/>
            <w:vAlign w:val="bottom"/>
            <w:hideMark/>
          </w:tcPr>
          <w:p w14:paraId="4F1ACEBB" w14:textId="7D94185E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E22C2A" w:rsidRPr="00A27368" w14:paraId="28F3DA77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11FCB89" w14:textId="4F70AD3C" w:rsidR="00E22C2A" w:rsidRPr="00A27368" w:rsidRDefault="00E22C2A" w:rsidP="00E22C2A">
            <w:pPr>
              <w:tabs>
                <w:tab w:val="left" w:pos="4973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565" w:type="dxa"/>
            <w:noWrap/>
            <w:vAlign w:val="bottom"/>
            <w:hideMark/>
          </w:tcPr>
          <w:p w14:paraId="5BD01644" w14:textId="54E9AF76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3.461.796,89</w:t>
            </w:r>
          </w:p>
        </w:tc>
        <w:tc>
          <w:tcPr>
            <w:tcW w:w="1560" w:type="dxa"/>
            <w:noWrap/>
            <w:vAlign w:val="bottom"/>
            <w:hideMark/>
          </w:tcPr>
          <w:p w14:paraId="58F32431" w14:textId="3F73280E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7.218.704,96</w:t>
            </w:r>
          </w:p>
        </w:tc>
        <w:tc>
          <w:tcPr>
            <w:tcW w:w="1559" w:type="dxa"/>
            <w:noWrap/>
            <w:vAlign w:val="bottom"/>
            <w:hideMark/>
          </w:tcPr>
          <w:p w14:paraId="02C03E73" w14:textId="575CB22C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4.627.479,14</w:t>
            </w:r>
          </w:p>
        </w:tc>
        <w:tc>
          <w:tcPr>
            <w:tcW w:w="1499" w:type="dxa"/>
            <w:noWrap/>
            <w:vAlign w:val="bottom"/>
            <w:hideMark/>
          </w:tcPr>
          <w:p w14:paraId="242882AB" w14:textId="297C1C18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4.591.057,66</w:t>
            </w:r>
          </w:p>
        </w:tc>
        <w:tc>
          <w:tcPr>
            <w:tcW w:w="1147" w:type="dxa"/>
            <w:noWrap/>
            <w:vAlign w:val="bottom"/>
            <w:hideMark/>
          </w:tcPr>
          <w:p w14:paraId="41299923" w14:textId="742373CA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132,62%</w:t>
            </w:r>
          </w:p>
        </w:tc>
        <w:tc>
          <w:tcPr>
            <w:tcW w:w="1147" w:type="dxa"/>
            <w:noWrap/>
            <w:vAlign w:val="bottom"/>
            <w:hideMark/>
          </w:tcPr>
          <w:p w14:paraId="73E4BB56" w14:textId="0B073402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99,21%</w:t>
            </w:r>
          </w:p>
        </w:tc>
      </w:tr>
      <w:tr w:rsidR="00E22C2A" w:rsidRPr="00A27368" w14:paraId="2587B46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E10C366" w14:textId="252C75CB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Prihodi od poreza</w:t>
            </w:r>
          </w:p>
        </w:tc>
        <w:tc>
          <w:tcPr>
            <w:tcW w:w="1565" w:type="dxa"/>
            <w:noWrap/>
            <w:vAlign w:val="bottom"/>
            <w:hideMark/>
          </w:tcPr>
          <w:p w14:paraId="5424F46C" w14:textId="31F52A97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1.399.996,70</w:t>
            </w:r>
          </w:p>
        </w:tc>
        <w:tc>
          <w:tcPr>
            <w:tcW w:w="1560" w:type="dxa"/>
            <w:noWrap/>
            <w:vAlign w:val="bottom"/>
            <w:hideMark/>
          </w:tcPr>
          <w:p w14:paraId="28C1C14E" w14:textId="488782C7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1.954.912,97</w:t>
            </w:r>
          </w:p>
        </w:tc>
        <w:tc>
          <w:tcPr>
            <w:tcW w:w="1559" w:type="dxa"/>
            <w:noWrap/>
            <w:vAlign w:val="bottom"/>
            <w:hideMark/>
          </w:tcPr>
          <w:p w14:paraId="2C21A0A8" w14:textId="4C25C4C1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1.863.912,97</w:t>
            </w:r>
          </w:p>
        </w:tc>
        <w:tc>
          <w:tcPr>
            <w:tcW w:w="1499" w:type="dxa"/>
            <w:noWrap/>
            <w:vAlign w:val="bottom"/>
            <w:hideMark/>
          </w:tcPr>
          <w:p w14:paraId="211D2646" w14:textId="13DCF87B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1.584.606,66</w:t>
            </w:r>
          </w:p>
        </w:tc>
        <w:tc>
          <w:tcPr>
            <w:tcW w:w="1147" w:type="dxa"/>
            <w:noWrap/>
            <w:vAlign w:val="bottom"/>
            <w:hideMark/>
          </w:tcPr>
          <w:p w14:paraId="76520BB7" w14:textId="57C2EB8A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113,19%</w:t>
            </w:r>
          </w:p>
        </w:tc>
        <w:tc>
          <w:tcPr>
            <w:tcW w:w="1147" w:type="dxa"/>
            <w:noWrap/>
            <w:vAlign w:val="bottom"/>
            <w:hideMark/>
          </w:tcPr>
          <w:p w14:paraId="449865D7" w14:textId="179731BD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85,02%</w:t>
            </w:r>
          </w:p>
        </w:tc>
      </w:tr>
      <w:tr w:rsidR="00E22C2A" w:rsidRPr="00A27368" w14:paraId="32A469F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220E8AC" w14:textId="4809C5F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611 Porez na dohodak</w:t>
            </w:r>
          </w:p>
        </w:tc>
        <w:tc>
          <w:tcPr>
            <w:tcW w:w="1565" w:type="dxa"/>
            <w:noWrap/>
            <w:vAlign w:val="bottom"/>
            <w:hideMark/>
          </w:tcPr>
          <w:p w14:paraId="238B0818" w14:textId="40A460B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1.347.962,65</w:t>
            </w:r>
          </w:p>
        </w:tc>
        <w:tc>
          <w:tcPr>
            <w:tcW w:w="1560" w:type="dxa"/>
            <w:noWrap/>
            <w:vAlign w:val="bottom"/>
            <w:hideMark/>
          </w:tcPr>
          <w:p w14:paraId="27C252FE" w14:textId="54CDF6A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1.723.812,97</w:t>
            </w:r>
          </w:p>
        </w:tc>
        <w:tc>
          <w:tcPr>
            <w:tcW w:w="1559" w:type="dxa"/>
            <w:noWrap/>
            <w:vAlign w:val="bottom"/>
            <w:hideMark/>
          </w:tcPr>
          <w:p w14:paraId="64F69EAE" w14:textId="5B8454E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1.723.812,97</w:t>
            </w:r>
          </w:p>
        </w:tc>
        <w:tc>
          <w:tcPr>
            <w:tcW w:w="1499" w:type="dxa"/>
            <w:noWrap/>
            <w:vAlign w:val="bottom"/>
            <w:hideMark/>
          </w:tcPr>
          <w:p w14:paraId="64327331" w14:textId="4013121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1.476.749,59</w:t>
            </w:r>
          </w:p>
        </w:tc>
        <w:tc>
          <w:tcPr>
            <w:tcW w:w="1147" w:type="dxa"/>
            <w:noWrap/>
            <w:vAlign w:val="bottom"/>
            <w:hideMark/>
          </w:tcPr>
          <w:p w14:paraId="7E7A13E9" w14:textId="4FCCF7C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109,55%</w:t>
            </w:r>
          </w:p>
        </w:tc>
        <w:tc>
          <w:tcPr>
            <w:tcW w:w="1147" w:type="dxa"/>
            <w:noWrap/>
            <w:vAlign w:val="bottom"/>
            <w:hideMark/>
          </w:tcPr>
          <w:p w14:paraId="2C5ACE2D" w14:textId="6E13374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85,67%</w:t>
            </w:r>
          </w:p>
        </w:tc>
      </w:tr>
      <w:tr w:rsidR="00E22C2A" w:rsidRPr="00A27368" w14:paraId="4ECA4BEF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8830059" w14:textId="002C9F99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6111 Porez na dohodak od nesamostalnog rada</w:t>
            </w:r>
          </w:p>
        </w:tc>
        <w:tc>
          <w:tcPr>
            <w:tcW w:w="1565" w:type="dxa"/>
            <w:noWrap/>
            <w:vAlign w:val="bottom"/>
            <w:hideMark/>
          </w:tcPr>
          <w:p w14:paraId="04B156B0" w14:textId="748679D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1.347.962,65</w:t>
            </w:r>
          </w:p>
        </w:tc>
        <w:tc>
          <w:tcPr>
            <w:tcW w:w="1560" w:type="dxa"/>
            <w:noWrap/>
            <w:vAlign w:val="bottom"/>
            <w:hideMark/>
          </w:tcPr>
          <w:p w14:paraId="2257572F" w14:textId="65FC0F8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BB8773A" w14:textId="11ECAEB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3EC294AF" w14:textId="76F55AA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1.476.749,59</w:t>
            </w:r>
          </w:p>
        </w:tc>
        <w:tc>
          <w:tcPr>
            <w:tcW w:w="1147" w:type="dxa"/>
            <w:noWrap/>
            <w:vAlign w:val="bottom"/>
            <w:hideMark/>
          </w:tcPr>
          <w:p w14:paraId="49CEC248" w14:textId="73CEF57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109,55%</w:t>
            </w:r>
          </w:p>
        </w:tc>
        <w:tc>
          <w:tcPr>
            <w:tcW w:w="1147" w:type="dxa"/>
            <w:noWrap/>
            <w:vAlign w:val="bottom"/>
            <w:hideMark/>
          </w:tcPr>
          <w:p w14:paraId="1C0033A7" w14:textId="65ACDA82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753379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1CFE77E" w14:textId="5B9C5742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 Porezi na imovinu</w:t>
            </w:r>
          </w:p>
        </w:tc>
        <w:tc>
          <w:tcPr>
            <w:tcW w:w="1565" w:type="dxa"/>
            <w:noWrap/>
            <w:vAlign w:val="bottom"/>
            <w:hideMark/>
          </w:tcPr>
          <w:p w14:paraId="5FF0942E" w14:textId="17A5C28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28.100,56</w:t>
            </w:r>
          </w:p>
        </w:tc>
        <w:tc>
          <w:tcPr>
            <w:tcW w:w="1560" w:type="dxa"/>
            <w:noWrap/>
            <w:vAlign w:val="bottom"/>
            <w:hideMark/>
          </w:tcPr>
          <w:p w14:paraId="2B718686" w14:textId="72A6070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D42860A" w14:textId="43505E6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3C1D12C9" w14:textId="0EC36A8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82.296,10</w:t>
            </w:r>
          </w:p>
        </w:tc>
        <w:tc>
          <w:tcPr>
            <w:tcW w:w="1147" w:type="dxa"/>
            <w:noWrap/>
            <w:vAlign w:val="bottom"/>
            <w:hideMark/>
          </w:tcPr>
          <w:p w14:paraId="42668B1A" w14:textId="4B91763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292,86%</w:t>
            </w:r>
          </w:p>
        </w:tc>
        <w:tc>
          <w:tcPr>
            <w:tcW w:w="1147" w:type="dxa"/>
            <w:noWrap/>
            <w:vAlign w:val="bottom"/>
            <w:hideMark/>
          </w:tcPr>
          <w:p w14:paraId="72F3355D" w14:textId="3AAF0C35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76,20%</w:t>
            </w:r>
          </w:p>
        </w:tc>
      </w:tr>
      <w:tr w:rsidR="00E22C2A" w:rsidRPr="00A27368" w14:paraId="7F06C70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E882047" w14:textId="4A09E108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6131 Stalni porezi na nepokretnu imovinu (zemlju, zgrade, kuće i ostalo)</w:t>
            </w:r>
          </w:p>
        </w:tc>
        <w:tc>
          <w:tcPr>
            <w:tcW w:w="1565" w:type="dxa"/>
            <w:noWrap/>
            <w:vAlign w:val="bottom"/>
            <w:hideMark/>
          </w:tcPr>
          <w:p w14:paraId="574B12D7" w14:textId="4EF08CD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1.160,10</w:t>
            </w:r>
          </w:p>
        </w:tc>
        <w:tc>
          <w:tcPr>
            <w:tcW w:w="1560" w:type="dxa"/>
            <w:noWrap/>
            <w:vAlign w:val="bottom"/>
            <w:hideMark/>
          </w:tcPr>
          <w:p w14:paraId="761EB425" w14:textId="7D572A3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2F1DAD1" w14:textId="13FC006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36442A4" w14:textId="4AA35F7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4.530,06</w:t>
            </w:r>
          </w:p>
        </w:tc>
        <w:tc>
          <w:tcPr>
            <w:tcW w:w="1147" w:type="dxa"/>
            <w:noWrap/>
            <w:vAlign w:val="bottom"/>
            <w:hideMark/>
          </w:tcPr>
          <w:p w14:paraId="185D68B2" w14:textId="7A32EED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390,49%</w:t>
            </w:r>
          </w:p>
        </w:tc>
        <w:tc>
          <w:tcPr>
            <w:tcW w:w="1147" w:type="dxa"/>
            <w:noWrap/>
            <w:vAlign w:val="bottom"/>
            <w:hideMark/>
          </w:tcPr>
          <w:p w14:paraId="52862358" w14:textId="0F01002E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E22EFF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20E2C23" w14:textId="5C9151DF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6134 Povremeni porezi na imovinu</w:t>
            </w:r>
          </w:p>
        </w:tc>
        <w:tc>
          <w:tcPr>
            <w:tcW w:w="1565" w:type="dxa"/>
            <w:noWrap/>
            <w:vAlign w:val="bottom"/>
            <w:hideMark/>
          </w:tcPr>
          <w:p w14:paraId="34C01767" w14:textId="3E5E90D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26.940,46</w:t>
            </w:r>
          </w:p>
        </w:tc>
        <w:tc>
          <w:tcPr>
            <w:tcW w:w="1560" w:type="dxa"/>
            <w:noWrap/>
            <w:vAlign w:val="bottom"/>
            <w:hideMark/>
          </w:tcPr>
          <w:p w14:paraId="484E9858" w14:textId="4CE7CCF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A373E37" w14:textId="73AE19E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45A7A15" w14:textId="135C96F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77.766,04</w:t>
            </w:r>
          </w:p>
        </w:tc>
        <w:tc>
          <w:tcPr>
            <w:tcW w:w="1147" w:type="dxa"/>
            <w:noWrap/>
            <w:vAlign w:val="bottom"/>
            <w:hideMark/>
          </w:tcPr>
          <w:p w14:paraId="1E0A30A7" w14:textId="48B1DA3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288,66%</w:t>
            </w:r>
          </w:p>
        </w:tc>
        <w:tc>
          <w:tcPr>
            <w:tcW w:w="1147" w:type="dxa"/>
            <w:noWrap/>
            <w:vAlign w:val="bottom"/>
            <w:hideMark/>
          </w:tcPr>
          <w:p w14:paraId="07F932EA" w14:textId="6A0CCF89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5C2D4A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D5D5A22" w14:textId="168E7F32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 Porezi na robu i usluge</w:t>
            </w:r>
          </w:p>
        </w:tc>
        <w:tc>
          <w:tcPr>
            <w:tcW w:w="1565" w:type="dxa"/>
            <w:noWrap/>
            <w:vAlign w:val="bottom"/>
            <w:hideMark/>
          </w:tcPr>
          <w:p w14:paraId="21579E33" w14:textId="1FC416F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23.933,49</w:t>
            </w:r>
          </w:p>
        </w:tc>
        <w:tc>
          <w:tcPr>
            <w:tcW w:w="1560" w:type="dxa"/>
            <w:noWrap/>
            <w:vAlign w:val="bottom"/>
            <w:hideMark/>
          </w:tcPr>
          <w:p w14:paraId="395CC7D2" w14:textId="60EDC18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76A8D18" w14:textId="21C4BBA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32.100,00</w:t>
            </w:r>
          </w:p>
        </w:tc>
        <w:tc>
          <w:tcPr>
            <w:tcW w:w="1499" w:type="dxa"/>
            <w:noWrap/>
            <w:vAlign w:val="bottom"/>
            <w:hideMark/>
          </w:tcPr>
          <w:p w14:paraId="0DB3A857" w14:textId="4CE7C0D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25.560,97</w:t>
            </w:r>
          </w:p>
        </w:tc>
        <w:tc>
          <w:tcPr>
            <w:tcW w:w="1147" w:type="dxa"/>
            <w:noWrap/>
            <w:vAlign w:val="bottom"/>
            <w:hideMark/>
          </w:tcPr>
          <w:p w14:paraId="404DC42F" w14:textId="788C6A9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106,80%</w:t>
            </w:r>
          </w:p>
        </w:tc>
        <w:tc>
          <w:tcPr>
            <w:tcW w:w="1147" w:type="dxa"/>
            <w:noWrap/>
            <w:vAlign w:val="bottom"/>
            <w:hideMark/>
          </w:tcPr>
          <w:p w14:paraId="026C09DB" w14:textId="41D09806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79,63%</w:t>
            </w:r>
          </w:p>
        </w:tc>
      </w:tr>
      <w:tr w:rsidR="00E22C2A" w:rsidRPr="00A27368" w14:paraId="2FE8177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E65BA95" w14:textId="0BBFE9B2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6142 Porez na promet</w:t>
            </w:r>
          </w:p>
        </w:tc>
        <w:tc>
          <w:tcPr>
            <w:tcW w:w="1565" w:type="dxa"/>
            <w:noWrap/>
            <w:vAlign w:val="bottom"/>
            <w:hideMark/>
          </w:tcPr>
          <w:p w14:paraId="3FB3A669" w14:textId="0ED1D91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23.966,42</w:t>
            </w:r>
          </w:p>
        </w:tc>
        <w:tc>
          <w:tcPr>
            <w:tcW w:w="1560" w:type="dxa"/>
            <w:noWrap/>
            <w:vAlign w:val="bottom"/>
            <w:hideMark/>
          </w:tcPr>
          <w:p w14:paraId="6A03CEE4" w14:textId="2381BCCB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F24E096" w14:textId="43347A2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34C8B994" w14:textId="226921D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25.520,57</w:t>
            </w:r>
          </w:p>
        </w:tc>
        <w:tc>
          <w:tcPr>
            <w:tcW w:w="1147" w:type="dxa"/>
            <w:noWrap/>
            <w:vAlign w:val="bottom"/>
            <w:hideMark/>
          </w:tcPr>
          <w:p w14:paraId="13842980" w14:textId="17EB31A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106,48%</w:t>
            </w:r>
          </w:p>
        </w:tc>
        <w:tc>
          <w:tcPr>
            <w:tcW w:w="1147" w:type="dxa"/>
            <w:noWrap/>
            <w:vAlign w:val="bottom"/>
            <w:hideMark/>
          </w:tcPr>
          <w:p w14:paraId="5038D8F5" w14:textId="34DD1728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528A92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5D89EEB" w14:textId="2102FBC8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6145 Porezi na korištenje dobara ili izvođenje aktivnosti</w:t>
            </w:r>
          </w:p>
        </w:tc>
        <w:tc>
          <w:tcPr>
            <w:tcW w:w="1565" w:type="dxa"/>
            <w:noWrap/>
            <w:vAlign w:val="bottom"/>
            <w:hideMark/>
          </w:tcPr>
          <w:p w14:paraId="12559F26" w14:textId="356F7A1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-32,93</w:t>
            </w:r>
          </w:p>
        </w:tc>
        <w:tc>
          <w:tcPr>
            <w:tcW w:w="1560" w:type="dxa"/>
            <w:noWrap/>
            <w:vAlign w:val="bottom"/>
            <w:hideMark/>
          </w:tcPr>
          <w:p w14:paraId="79C73F5B" w14:textId="10AC907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BD67BFE" w14:textId="472DF3B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E5FBBE2" w14:textId="1F15421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40,40</w:t>
            </w:r>
          </w:p>
        </w:tc>
        <w:tc>
          <w:tcPr>
            <w:tcW w:w="1147" w:type="dxa"/>
            <w:noWrap/>
            <w:vAlign w:val="bottom"/>
            <w:hideMark/>
          </w:tcPr>
          <w:p w14:paraId="59B78346" w14:textId="5FD915D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-122,68%</w:t>
            </w:r>
          </w:p>
        </w:tc>
        <w:tc>
          <w:tcPr>
            <w:tcW w:w="1147" w:type="dxa"/>
            <w:noWrap/>
            <w:vAlign w:val="bottom"/>
            <w:hideMark/>
          </w:tcPr>
          <w:p w14:paraId="7033FAC7" w14:textId="2626CE7D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A1BB4AF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3EDA5DD" w14:textId="72078A3F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5F00FCAE" w14:textId="5557B046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1.805.228,47</w:t>
            </w:r>
          </w:p>
        </w:tc>
        <w:tc>
          <w:tcPr>
            <w:tcW w:w="1560" w:type="dxa"/>
            <w:noWrap/>
            <w:vAlign w:val="bottom"/>
            <w:hideMark/>
          </w:tcPr>
          <w:p w14:paraId="43EA808B" w14:textId="7AF3F4D3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4.935.822,03</w:t>
            </w:r>
          </w:p>
        </w:tc>
        <w:tc>
          <w:tcPr>
            <w:tcW w:w="1559" w:type="dxa"/>
            <w:noWrap/>
            <w:vAlign w:val="bottom"/>
            <w:hideMark/>
          </w:tcPr>
          <w:p w14:paraId="16522C77" w14:textId="4C546869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2.455.882,09</w:t>
            </w:r>
          </w:p>
        </w:tc>
        <w:tc>
          <w:tcPr>
            <w:tcW w:w="1499" w:type="dxa"/>
            <w:noWrap/>
            <w:vAlign w:val="bottom"/>
            <w:hideMark/>
          </w:tcPr>
          <w:p w14:paraId="69808E25" w14:textId="07FFF266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2.737.189,99</w:t>
            </w:r>
          </w:p>
        </w:tc>
        <w:tc>
          <w:tcPr>
            <w:tcW w:w="1147" w:type="dxa"/>
            <w:noWrap/>
            <w:vAlign w:val="bottom"/>
            <w:hideMark/>
          </w:tcPr>
          <w:p w14:paraId="03DA1522" w14:textId="65DD11E3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151,63%</w:t>
            </w:r>
          </w:p>
        </w:tc>
        <w:tc>
          <w:tcPr>
            <w:tcW w:w="1147" w:type="dxa"/>
            <w:noWrap/>
            <w:vAlign w:val="bottom"/>
            <w:hideMark/>
          </w:tcPr>
          <w:p w14:paraId="60697E36" w14:textId="54AD4D5C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111,45%</w:t>
            </w:r>
          </w:p>
        </w:tc>
      </w:tr>
      <w:tr w:rsidR="00E22C2A" w:rsidRPr="00A27368" w14:paraId="47CA106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3EF79F6" w14:textId="4AF1703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633 Pomoći proračunu i izvanproračunskim korisnicima iz drugih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3526AAC9" w14:textId="3BC8463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1.714.278,25</w:t>
            </w:r>
          </w:p>
        </w:tc>
        <w:tc>
          <w:tcPr>
            <w:tcW w:w="1560" w:type="dxa"/>
            <w:noWrap/>
            <w:vAlign w:val="bottom"/>
            <w:hideMark/>
          </w:tcPr>
          <w:p w14:paraId="2772A162" w14:textId="1D70E9D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1.172.595,03</w:t>
            </w:r>
          </w:p>
        </w:tc>
        <w:tc>
          <w:tcPr>
            <w:tcW w:w="1559" w:type="dxa"/>
            <w:noWrap/>
            <w:vAlign w:val="bottom"/>
            <w:hideMark/>
          </w:tcPr>
          <w:p w14:paraId="73A60790" w14:textId="5A3AF5C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561.125,86</w:t>
            </w:r>
          </w:p>
        </w:tc>
        <w:tc>
          <w:tcPr>
            <w:tcW w:w="1499" w:type="dxa"/>
            <w:noWrap/>
            <w:vAlign w:val="bottom"/>
            <w:hideMark/>
          </w:tcPr>
          <w:p w14:paraId="437D0CC8" w14:textId="555760D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740.875,89</w:t>
            </w:r>
          </w:p>
        </w:tc>
        <w:tc>
          <w:tcPr>
            <w:tcW w:w="1147" w:type="dxa"/>
            <w:noWrap/>
            <w:vAlign w:val="bottom"/>
            <w:hideMark/>
          </w:tcPr>
          <w:p w14:paraId="2F603D08" w14:textId="754DA46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43,22%</w:t>
            </w:r>
          </w:p>
        </w:tc>
        <w:tc>
          <w:tcPr>
            <w:tcW w:w="1147" w:type="dxa"/>
            <w:noWrap/>
            <w:vAlign w:val="bottom"/>
            <w:hideMark/>
          </w:tcPr>
          <w:p w14:paraId="1A1236B9" w14:textId="7CEFE0F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132,03%</w:t>
            </w:r>
          </w:p>
        </w:tc>
      </w:tr>
      <w:tr w:rsidR="00E22C2A" w:rsidRPr="00A27368" w14:paraId="308A5D1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DE3236B" w14:textId="17AFBF4F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6331 Tekuće pomoći proračunu i izvanproračunskim korisnicima iz drugih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7DD292F7" w14:textId="718DC81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1.321.478,25</w:t>
            </w:r>
          </w:p>
        </w:tc>
        <w:tc>
          <w:tcPr>
            <w:tcW w:w="1560" w:type="dxa"/>
            <w:noWrap/>
            <w:vAlign w:val="bottom"/>
            <w:hideMark/>
          </w:tcPr>
          <w:p w14:paraId="125CF86E" w14:textId="6742E370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3B3609E" w14:textId="0C1C36E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38E39E7" w14:textId="2148680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509.480,03</w:t>
            </w:r>
          </w:p>
        </w:tc>
        <w:tc>
          <w:tcPr>
            <w:tcW w:w="1147" w:type="dxa"/>
            <w:noWrap/>
            <w:vAlign w:val="bottom"/>
            <w:hideMark/>
          </w:tcPr>
          <w:p w14:paraId="62504F13" w14:textId="14343F9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38,55%</w:t>
            </w:r>
          </w:p>
        </w:tc>
        <w:tc>
          <w:tcPr>
            <w:tcW w:w="1147" w:type="dxa"/>
            <w:noWrap/>
            <w:vAlign w:val="bottom"/>
            <w:hideMark/>
          </w:tcPr>
          <w:p w14:paraId="3DF664EB" w14:textId="33772E63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EA1C35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7232842" w14:textId="44E6223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6332 Kapitalne pomoći proračunu i izvanproračunskim korisnicima iz drugih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2ACC3615" w14:textId="0340C53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392.800,00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7438FC1" w14:textId="66D9DF6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75EECDEE" w14:textId="4F5CAD9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55F162D" w14:textId="0B94EEF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231.395,86</w:t>
            </w:r>
          </w:p>
        </w:tc>
        <w:tc>
          <w:tcPr>
            <w:tcW w:w="1147" w:type="dxa"/>
            <w:noWrap/>
            <w:vAlign w:val="bottom"/>
            <w:hideMark/>
          </w:tcPr>
          <w:p w14:paraId="0BE299C9" w14:textId="7D46212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58,91%</w:t>
            </w:r>
          </w:p>
        </w:tc>
        <w:tc>
          <w:tcPr>
            <w:tcW w:w="1147" w:type="dxa"/>
            <w:noWrap/>
            <w:vAlign w:val="bottom"/>
            <w:hideMark/>
          </w:tcPr>
          <w:p w14:paraId="0F327AE8" w14:textId="0672CBEF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274324D2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ECEB445" w14:textId="73C0F91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634 Pomoći od izvanproračunskih korisnika</w:t>
            </w:r>
          </w:p>
        </w:tc>
        <w:tc>
          <w:tcPr>
            <w:tcW w:w="1565" w:type="dxa"/>
            <w:noWrap/>
            <w:vAlign w:val="bottom"/>
            <w:hideMark/>
          </w:tcPr>
          <w:p w14:paraId="1AE69D9A" w14:textId="4D218EC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29.453,10</w:t>
            </w:r>
          </w:p>
        </w:tc>
        <w:tc>
          <w:tcPr>
            <w:tcW w:w="1560" w:type="dxa"/>
            <w:noWrap/>
            <w:vAlign w:val="bottom"/>
            <w:hideMark/>
          </w:tcPr>
          <w:p w14:paraId="1C38CAF4" w14:textId="343E0AF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CEBA59" w14:textId="445DF33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9" w:type="dxa"/>
            <w:noWrap/>
            <w:vAlign w:val="bottom"/>
            <w:hideMark/>
          </w:tcPr>
          <w:p w14:paraId="1ACFBBA8" w14:textId="634986EF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2E5ECEE9" w14:textId="6F58B9A8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063480F0" w14:textId="39D74709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A14051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5E85784" w14:textId="5C62D3A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565" w:type="dxa"/>
            <w:noWrap/>
            <w:vAlign w:val="bottom"/>
            <w:hideMark/>
          </w:tcPr>
          <w:p w14:paraId="4D724AE1" w14:textId="565F4D2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29.453,10</w:t>
            </w:r>
          </w:p>
        </w:tc>
        <w:tc>
          <w:tcPr>
            <w:tcW w:w="1560" w:type="dxa"/>
            <w:noWrap/>
            <w:vAlign w:val="bottom"/>
            <w:hideMark/>
          </w:tcPr>
          <w:p w14:paraId="34AF711B" w14:textId="212042BD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992EAB4" w14:textId="6DAD178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442E9B0" w14:textId="246BE80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360BC6CD" w14:textId="688A134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7CD67358" w14:textId="1412CF2F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24999AD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D14CCAC" w14:textId="768F5A9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635 Pomoći izravnanja za decentralizirane funkcije i fiskalnog izravnanja</w:t>
            </w:r>
          </w:p>
        </w:tc>
        <w:tc>
          <w:tcPr>
            <w:tcW w:w="1565" w:type="dxa"/>
            <w:noWrap/>
            <w:vAlign w:val="bottom"/>
            <w:hideMark/>
          </w:tcPr>
          <w:p w14:paraId="21FCE9F5" w14:textId="7493431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7EA81F10" w14:textId="24737BC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2BC9875" w14:textId="5571FFA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897.995,03</w:t>
            </w:r>
          </w:p>
        </w:tc>
        <w:tc>
          <w:tcPr>
            <w:tcW w:w="1499" w:type="dxa"/>
            <w:noWrap/>
            <w:vAlign w:val="bottom"/>
            <w:hideMark/>
          </w:tcPr>
          <w:p w14:paraId="68318CDB" w14:textId="0BA9B0D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999.552,90</w:t>
            </w:r>
          </w:p>
        </w:tc>
        <w:tc>
          <w:tcPr>
            <w:tcW w:w="1147" w:type="dxa"/>
            <w:noWrap/>
            <w:vAlign w:val="bottom"/>
            <w:hideMark/>
          </w:tcPr>
          <w:p w14:paraId="4FF58AEB" w14:textId="0D32E02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19DF3FA7" w14:textId="19914C5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111,31%</w:t>
            </w:r>
          </w:p>
        </w:tc>
      </w:tr>
      <w:tr w:rsidR="00E22C2A" w:rsidRPr="00A27368" w14:paraId="38E0BCB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3D54A20" w14:textId="516ECEE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6353 Pomoći fiskalnog izravnanja</w:t>
            </w:r>
          </w:p>
        </w:tc>
        <w:tc>
          <w:tcPr>
            <w:tcW w:w="1565" w:type="dxa"/>
            <w:noWrap/>
            <w:vAlign w:val="bottom"/>
            <w:hideMark/>
          </w:tcPr>
          <w:p w14:paraId="18896D51" w14:textId="2303B9B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6B337F09" w14:textId="60F7DCB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19D6878" w14:textId="1FDA7C3F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EBD8228" w14:textId="1BDD3FB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999.552,90</w:t>
            </w:r>
          </w:p>
        </w:tc>
        <w:tc>
          <w:tcPr>
            <w:tcW w:w="1147" w:type="dxa"/>
            <w:noWrap/>
            <w:vAlign w:val="bottom"/>
            <w:hideMark/>
          </w:tcPr>
          <w:p w14:paraId="47372C12" w14:textId="37F9FA7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2AA28BFA" w14:textId="6210AD4D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795DAD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0B418CA" w14:textId="1F4AAC45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638 Pomoći temeljem prijenosa EU sredstava</w:t>
            </w:r>
          </w:p>
        </w:tc>
        <w:tc>
          <w:tcPr>
            <w:tcW w:w="1565" w:type="dxa"/>
            <w:noWrap/>
            <w:vAlign w:val="bottom"/>
            <w:hideMark/>
          </w:tcPr>
          <w:p w14:paraId="3827B73A" w14:textId="0EBF9AE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61.497,12</w:t>
            </w:r>
          </w:p>
        </w:tc>
        <w:tc>
          <w:tcPr>
            <w:tcW w:w="1560" w:type="dxa"/>
            <w:noWrap/>
            <w:vAlign w:val="bottom"/>
            <w:hideMark/>
          </w:tcPr>
          <w:p w14:paraId="66AD0E99" w14:textId="140F514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3.732.927,00</w:t>
            </w:r>
          </w:p>
        </w:tc>
        <w:tc>
          <w:tcPr>
            <w:tcW w:w="1559" w:type="dxa"/>
            <w:noWrap/>
            <w:vAlign w:val="bottom"/>
            <w:hideMark/>
          </w:tcPr>
          <w:p w14:paraId="1815FE51" w14:textId="6397E78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996.761,20</w:t>
            </w:r>
          </w:p>
        </w:tc>
        <w:tc>
          <w:tcPr>
            <w:tcW w:w="1499" w:type="dxa"/>
            <w:noWrap/>
            <w:vAlign w:val="bottom"/>
            <w:hideMark/>
          </w:tcPr>
          <w:p w14:paraId="1ECA3122" w14:textId="2A1B45D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996.761,20</w:t>
            </w:r>
          </w:p>
        </w:tc>
        <w:tc>
          <w:tcPr>
            <w:tcW w:w="1147" w:type="dxa"/>
            <w:noWrap/>
            <w:vAlign w:val="bottom"/>
            <w:hideMark/>
          </w:tcPr>
          <w:p w14:paraId="4DCBB8AC" w14:textId="4C0AD2D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1620,83%</w:t>
            </w:r>
          </w:p>
        </w:tc>
        <w:tc>
          <w:tcPr>
            <w:tcW w:w="1147" w:type="dxa"/>
            <w:noWrap/>
            <w:vAlign w:val="bottom"/>
            <w:hideMark/>
          </w:tcPr>
          <w:p w14:paraId="1B7877BA" w14:textId="1C00DC6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22C2A" w:rsidRPr="00A27368" w14:paraId="6069B98D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AF9FDEB" w14:textId="57521135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6382 Kapitalne pomoći temeljem prijenosa EU sredstava</w:t>
            </w:r>
          </w:p>
        </w:tc>
        <w:tc>
          <w:tcPr>
            <w:tcW w:w="1565" w:type="dxa"/>
            <w:noWrap/>
            <w:vAlign w:val="bottom"/>
            <w:hideMark/>
          </w:tcPr>
          <w:p w14:paraId="738EEBAC" w14:textId="5FCA5F36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61.497,12</w:t>
            </w:r>
          </w:p>
        </w:tc>
        <w:tc>
          <w:tcPr>
            <w:tcW w:w="1560" w:type="dxa"/>
            <w:noWrap/>
            <w:vAlign w:val="bottom"/>
            <w:hideMark/>
          </w:tcPr>
          <w:p w14:paraId="4CF41461" w14:textId="71B391FA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ABEA07C" w14:textId="10F4223A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E1F8752" w14:textId="0C003615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996.761,20</w:t>
            </w:r>
          </w:p>
        </w:tc>
        <w:tc>
          <w:tcPr>
            <w:tcW w:w="1147" w:type="dxa"/>
            <w:noWrap/>
            <w:vAlign w:val="bottom"/>
            <w:hideMark/>
          </w:tcPr>
          <w:p w14:paraId="6A971932" w14:textId="2A1C4C72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1620,83%</w:t>
            </w:r>
          </w:p>
        </w:tc>
        <w:tc>
          <w:tcPr>
            <w:tcW w:w="1147" w:type="dxa"/>
            <w:noWrap/>
            <w:vAlign w:val="bottom"/>
            <w:hideMark/>
          </w:tcPr>
          <w:p w14:paraId="41AE8D26" w14:textId="1AAD845D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6DB281C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30052C1" w14:textId="7116D1F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4E738B9B" w14:textId="79DCBFD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67.197,46</w:t>
            </w:r>
          </w:p>
        </w:tc>
        <w:tc>
          <w:tcPr>
            <w:tcW w:w="1560" w:type="dxa"/>
            <w:noWrap/>
            <w:vAlign w:val="bottom"/>
            <w:hideMark/>
          </w:tcPr>
          <w:p w14:paraId="41BF9CD0" w14:textId="313A638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EEFB9CA" w14:textId="06716EB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63.076,78</w:t>
            </w:r>
          </w:p>
        </w:tc>
        <w:tc>
          <w:tcPr>
            <w:tcW w:w="1499" w:type="dxa"/>
            <w:noWrap/>
            <w:vAlign w:val="bottom"/>
            <w:hideMark/>
          </w:tcPr>
          <w:p w14:paraId="7DB77F9A" w14:textId="48B0101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70.353,52</w:t>
            </w:r>
          </w:p>
        </w:tc>
        <w:tc>
          <w:tcPr>
            <w:tcW w:w="1147" w:type="dxa"/>
            <w:noWrap/>
            <w:vAlign w:val="bottom"/>
            <w:hideMark/>
          </w:tcPr>
          <w:p w14:paraId="03A735A7" w14:textId="4D90035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104,70%</w:t>
            </w:r>
          </w:p>
        </w:tc>
        <w:tc>
          <w:tcPr>
            <w:tcW w:w="1147" w:type="dxa"/>
            <w:noWrap/>
            <w:vAlign w:val="bottom"/>
            <w:hideMark/>
          </w:tcPr>
          <w:p w14:paraId="40C20123" w14:textId="28DE1CB8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111,54%</w:t>
            </w:r>
          </w:p>
        </w:tc>
      </w:tr>
      <w:tr w:rsidR="00E22C2A" w:rsidRPr="00A27368" w14:paraId="43BF209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429252D" w14:textId="6AD7C6CF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642 Prihodi od nefinancijske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69841B9E" w14:textId="6ABEA73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67.197,46</w:t>
            </w:r>
          </w:p>
        </w:tc>
        <w:tc>
          <w:tcPr>
            <w:tcW w:w="1560" w:type="dxa"/>
            <w:noWrap/>
            <w:vAlign w:val="bottom"/>
            <w:hideMark/>
          </w:tcPr>
          <w:p w14:paraId="0C246860" w14:textId="2BB78DB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C4D488" w14:textId="74175D6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63.076,78</w:t>
            </w:r>
          </w:p>
        </w:tc>
        <w:tc>
          <w:tcPr>
            <w:tcW w:w="1499" w:type="dxa"/>
            <w:noWrap/>
            <w:vAlign w:val="bottom"/>
            <w:hideMark/>
          </w:tcPr>
          <w:p w14:paraId="791A654E" w14:textId="3F66728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70.353,52</w:t>
            </w:r>
          </w:p>
        </w:tc>
        <w:tc>
          <w:tcPr>
            <w:tcW w:w="1147" w:type="dxa"/>
            <w:noWrap/>
            <w:vAlign w:val="bottom"/>
            <w:hideMark/>
          </w:tcPr>
          <w:p w14:paraId="04AD63F1" w14:textId="3D139DA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104,70%</w:t>
            </w:r>
          </w:p>
        </w:tc>
        <w:tc>
          <w:tcPr>
            <w:tcW w:w="1147" w:type="dxa"/>
            <w:noWrap/>
            <w:vAlign w:val="bottom"/>
            <w:hideMark/>
          </w:tcPr>
          <w:p w14:paraId="0ADFB8BF" w14:textId="3494A07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111,54%</w:t>
            </w:r>
          </w:p>
        </w:tc>
      </w:tr>
      <w:tr w:rsidR="00E22C2A" w:rsidRPr="00A27368" w14:paraId="7F801E6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65263AD" w14:textId="7F07F6F1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6421 Naknade za koncesije</w:t>
            </w:r>
          </w:p>
        </w:tc>
        <w:tc>
          <w:tcPr>
            <w:tcW w:w="1565" w:type="dxa"/>
            <w:noWrap/>
            <w:vAlign w:val="bottom"/>
            <w:hideMark/>
          </w:tcPr>
          <w:p w14:paraId="71C6B25F" w14:textId="6F996A4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9.746,68</w:t>
            </w:r>
          </w:p>
        </w:tc>
        <w:tc>
          <w:tcPr>
            <w:tcW w:w="1560" w:type="dxa"/>
            <w:noWrap/>
            <w:vAlign w:val="bottom"/>
            <w:hideMark/>
          </w:tcPr>
          <w:p w14:paraId="6EB5CE23" w14:textId="6B8FAB1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FB1F6A5" w14:textId="01A293B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950015D" w14:textId="550922D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5.695,63</w:t>
            </w:r>
          </w:p>
        </w:tc>
        <w:tc>
          <w:tcPr>
            <w:tcW w:w="1147" w:type="dxa"/>
            <w:noWrap/>
            <w:vAlign w:val="bottom"/>
            <w:hideMark/>
          </w:tcPr>
          <w:p w14:paraId="0D513C6F" w14:textId="1D44D1C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58,44%</w:t>
            </w:r>
          </w:p>
        </w:tc>
        <w:tc>
          <w:tcPr>
            <w:tcW w:w="1147" w:type="dxa"/>
            <w:noWrap/>
            <w:vAlign w:val="bottom"/>
            <w:hideMark/>
          </w:tcPr>
          <w:p w14:paraId="00881451" w14:textId="2BADF065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EA2630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11BFB83" w14:textId="0439640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6422 Prihodi od zakupa i iznajmljivanja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598CB3B8" w14:textId="32872F4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56.332,01</w:t>
            </w:r>
          </w:p>
        </w:tc>
        <w:tc>
          <w:tcPr>
            <w:tcW w:w="1560" w:type="dxa"/>
            <w:noWrap/>
            <w:vAlign w:val="bottom"/>
            <w:hideMark/>
          </w:tcPr>
          <w:p w14:paraId="05D77FAD" w14:textId="072D65ED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749BD8E" w14:textId="73ABF23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2F9C2C9" w14:textId="08AB0B4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64.465,10</w:t>
            </w:r>
          </w:p>
        </w:tc>
        <w:tc>
          <w:tcPr>
            <w:tcW w:w="1147" w:type="dxa"/>
            <w:noWrap/>
            <w:vAlign w:val="bottom"/>
            <w:hideMark/>
          </w:tcPr>
          <w:p w14:paraId="62B25675" w14:textId="2373443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114,44%</w:t>
            </w:r>
          </w:p>
        </w:tc>
        <w:tc>
          <w:tcPr>
            <w:tcW w:w="1147" w:type="dxa"/>
            <w:noWrap/>
            <w:vAlign w:val="bottom"/>
            <w:hideMark/>
          </w:tcPr>
          <w:p w14:paraId="6EABC49B" w14:textId="180C403B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E95CF97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6BE9D33" w14:textId="539C047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6423 Naknada za korištenje nefinancijske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19A17F34" w14:textId="23639CF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6399A0EA" w14:textId="3F88E2B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7BF2599" w14:textId="016DF7B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B122A56" w14:textId="11CF47E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6,20</w:t>
            </w:r>
          </w:p>
        </w:tc>
        <w:tc>
          <w:tcPr>
            <w:tcW w:w="1147" w:type="dxa"/>
            <w:noWrap/>
            <w:vAlign w:val="bottom"/>
            <w:hideMark/>
          </w:tcPr>
          <w:p w14:paraId="22EEF139" w14:textId="74190C7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43A8D23A" w14:textId="00009C96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027875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449A980" w14:textId="04A1AF8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6429 Ostali prihodi od nefinancijske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68F85E93" w14:textId="0D90956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1.118,77</w:t>
            </w:r>
          </w:p>
        </w:tc>
        <w:tc>
          <w:tcPr>
            <w:tcW w:w="1560" w:type="dxa"/>
            <w:noWrap/>
            <w:vAlign w:val="bottom"/>
            <w:hideMark/>
          </w:tcPr>
          <w:p w14:paraId="1B512DC2" w14:textId="7EBFEC3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45524BA" w14:textId="23D6512D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16E9E5B" w14:textId="23F1E9D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186,59</w:t>
            </w:r>
          </w:p>
        </w:tc>
        <w:tc>
          <w:tcPr>
            <w:tcW w:w="1147" w:type="dxa"/>
            <w:noWrap/>
            <w:vAlign w:val="bottom"/>
            <w:hideMark/>
          </w:tcPr>
          <w:p w14:paraId="2BBDD809" w14:textId="4E84F33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16,68%</w:t>
            </w:r>
          </w:p>
        </w:tc>
        <w:tc>
          <w:tcPr>
            <w:tcW w:w="1147" w:type="dxa"/>
            <w:noWrap/>
            <w:vAlign w:val="bottom"/>
            <w:hideMark/>
          </w:tcPr>
          <w:p w14:paraId="2D1595FB" w14:textId="5D7358AD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1C5698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77EECB0" w14:textId="688B1EB8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565" w:type="dxa"/>
            <w:noWrap/>
            <w:vAlign w:val="bottom"/>
            <w:hideMark/>
          </w:tcPr>
          <w:p w14:paraId="5B4B19F7" w14:textId="2A6639E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168.956,68</w:t>
            </w:r>
          </w:p>
        </w:tc>
        <w:tc>
          <w:tcPr>
            <w:tcW w:w="1560" w:type="dxa"/>
            <w:noWrap/>
            <w:vAlign w:val="bottom"/>
            <w:hideMark/>
          </w:tcPr>
          <w:p w14:paraId="6B3006A6" w14:textId="37965E1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239.224,50</w:t>
            </w:r>
          </w:p>
        </w:tc>
        <w:tc>
          <w:tcPr>
            <w:tcW w:w="1559" w:type="dxa"/>
            <w:noWrap/>
            <w:vAlign w:val="bottom"/>
            <w:hideMark/>
          </w:tcPr>
          <w:p w14:paraId="2C7BFA0E" w14:textId="22DAFB1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231.881,84</w:t>
            </w:r>
          </w:p>
        </w:tc>
        <w:tc>
          <w:tcPr>
            <w:tcW w:w="1499" w:type="dxa"/>
            <w:noWrap/>
            <w:vAlign w:val="bottom"/>
            <w:hideMark/>
          </w:tcPr>
          <w:p w14:paraId="2B34A65B" w14:textId="45DED23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192.828,05</w:t>
            </w:r>
          </w:p>
        </w:tc>
        <w:tc>
          <w:tcPr>
            <w:tcW w:w="1147" w:type="dxa"/>
            <w:noWrap/>
            <w:vAlign w:val="bottom"/>
            <w:hideMark/>
          </w:tcPr>
          <w:p w14:paraId="1DDEBE89" w14:textId="364F71B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114,13%</w:t>
            </w:r>
          </w:p>
        </w:tc>
        <w:tc>
          <w:tcPr>
            <w:tcW w:w="1147" w:type="dxa"/>
            <w:noWrap/>
            <w:vAlign w:val="bottom"/>
            <w:hideMark/>
          </w:tcPr>
          <w:p w14:paraId="05406092" w14:textId="20C93A5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83,16%</w:t>
            </w:r>
          </w:p>
        </w:tc>
      </w:tr>
      <w:tr w:rsidR="00E22C2A" w:rsidRPr="00A27368" w14:paraId="245DC0E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D6D30A2" w14:textId="5CEE6045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651 Upravne i administrativne pristojbe</w:t>
            </w:r>
          </w:p>
        </w:tc>
        <w:tc>
          <w:tcPr>
            <w:tcW w:w="1565" w:type="dxa"/>
            <w:noWrap/>
            <w:vAlign w:val="bottom"/>
            <w:hideMark/>
          </w:tcPr>
          <w:p w14:paraId="40EFAE96" w14:textId="783580E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7.618,79</w:t>
            </w:r>
          </w:p>
        </w:tc>
        <w:tc>
          <w:tcPr>
            <w:tcW w:w="1560" w:type="dxa"/>
            <w:noWrap/>
            <w:vAlign w:val="bottom"/>
            <w:hideMark/>
          </w:tcPr>
          <w:p w14:paraId="4609945F" w14:textId="72EB080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559" w:type="dxa"/>
            <w:noWrap/>
            <w:vAlign w:val="bottom"/>
            <w:hideMark/>
          </w:tcPr>
          <w:p w14:paraId="788DDF38" w14:textId="484A2D4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9" w:type="dxa"/>
            <w:noWrap/>
            <w:vAlign w:val="bottom"/>
            <w:hideMark/>
          </w:tcPr>
          <w:p w14:paraId="75B957F5" w14:textId="15C9543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1.446,28</w:t>
            </w:r>
          </w:p>
        </w:tc>
        <w:tc>
          <w:tcPr>
            <w:tcW w:w="1147" w:type="dxa"/>
            <w:noWrap/>
            <w:vAlign w:val="bottom"/>
            <w:hideMark/>
          </w:tcPr>
          <w:p w14:paraId="62705281" w14:textId="04162B3D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18,98%</w:t>
            </w:r>
          </w:p>
        </w:tc>
        <w:tc>
          <w:tcPr>
            <w:tcW w:w="1147" w:type="dxa"/>
            <w:noWrap/>
            <w:vAlign w:val="bottom"/>
            <w:hideMark/>
          </w:tcPr>
          <w:p w14:paraId="0A1A0C7D" w14:textId="5A9AA09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54,58%</w:t>
            </w:r>
          </w:p>
        </w:tc>
      </w:tr>
      <w:tr w:rsidR="00E22C2A" w:rsidRPr="00A27368" w14:paraId="5477227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BBEE956" w14:textId="41198131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6512 Županijske, gradske i općinske pristojbe i naknade</w:t>
            </w:r>
          </w:p>
        </w:tc>
        <w:tc>
          <w:tcPr>
            <w:tcW w:w="1565" w:type="dxa"/>
            <w:noWrap/>
            <w:vAlign w:val="bottom"/>
            <w:hideMark/>
          </w:tcPr>
          <w:p w14:paraId="260A6CA6" w14:textId="0A7DFCA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989,72</w:t>
            </w:r>
          </w:p>
        </w:tc>
        <w:tc>
          <w:tcPr>
            <w:tcW w:w="1560" w:type="dxa"/>
            <w:noWrap/>
            <w:vAlign w:val="bottom"/>
            <w:hideMark/>
          </w:tcPr>
          <w:p w14:paraId="78F6DF10" w14:textId="1E529A4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1D862F2" w14:textId="61F5D9E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558BAC0" w14:textId="2FB4742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1.446,28</w:t>
            </w:r>
          </w:p>
        </w:tc>
        <w:tc>
          <w:tcPr>
            <w:tcW w:w="1147" w:type="dxa"/>
            <w:noWrap/>
            <w:vAlign w:val="bottom"/>
            <w:hideMark/>
          </w:tcPr>
          <w:p w14:paraId="4801339D" w14:textId="5E69394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146,13%</w:t>
            </w:r>
          </w:p>
        </w:tc>
        <w:tc>
          <w:tcPr>
            <w:tcW w:w="1147" w:type="dxa"/>
            <w:noWrap/>
            <w:vAlign w:val="bottom"/>
            <w:hideMark/>
          </w:tcPr>
          <w:p w14:paraId="7125DC08" w14:textId="0F9B4B89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D11DFC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972A105" w14:textId="5419DF50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6514 Ostale pristojbe i naknade</w:t>
            </w:r>
          </w:p>
        </w:tc>
        <w:tc>
          <w:tcPr>
            <w:tcW w:w="1565" w:type="dxa"/>
            <w:noWrap/>
            <w:vAlign w:val="bottom"/>
            <w:hideMark/>
          </w:tcPr>
          <w:p w14:paraId="3D9842F0" w14:textId="7F98EA1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6.629,07</w:t>
            </w:r>
          </w:p>
        </w:tc>
        <w:tc>
          <w:tcPr>
            <w:tcW w:w="1560" w:type="dxa"/>
            <w:noWrap/>
            <w:vAlign w:val="bottom"/>
            <w:hideMark/>
          </w:tcPr>
          <w:p w14:paraId="154CD06D" w14:textId="285928A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EE493E7" w14:textId="7F7986C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20AE87F" w14:textId="407DC21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57863956" w14:textId="186CB0ED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535272FB" w14:textId="79BC85C8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231116A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1C1970D" w14:textId="5F22838E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652 Prihodi po posebnim propisima</w:t>
            </w:r>
          </w:p>
        </w:tc>
        <w:tc>
          <w:tcPr>
            <w:tcW w:w="1565" w:type="dxa"/>
            <w:noWrap/>
            <w:vAlign w:val="bottom"/>
            <w:hideMark/>
          </w:tcPr>
          <w:p w14:paraId="0ACCA072" w14:textId="746F1A48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124.518,44</w:t>
            </w:r>
          </w:p>
        </w:tc>
        <w:tc>
          <w:tcPr>
            <w:tcW w:w="1560" w:type="dxa"/>
            <w:noWrap/>
            <w:vAlign w:val="bottom"/>
            <w:hideMark/>
          </w:tcPr>
          <w:p w14:paraId="6733FD45" w14:textId="4DEF97CB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171.174,50</w:t>
            </w:r>
          </w:p>
        </w:tc>
        <w:tc>
          <w:tcPr>
            <w:tcW w:w="1559" w:type="dxa"/>
            <w:noWrap/>
            <w:vAlign w:val="bottom"/>
            <w:hideMark/>
          </w:tcPr>
          <w:p w14:paraId="50882153" w14:textId="25EAE70D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165.231,84</w:t>
            </w:r>
          </w:p>
        </w:tc>
        <w:tc>
          <w:tcPr>
            <w:tcW w:w="1499" w:type="dxa"/>
            <w:noWrap/>
            <w:vAlign w:val="bottom"/>
            <w:hideMark/>
          </w:tcPr>
          <w:p w14:paraId="11733E27" w14:textId="27F0D899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127.359,50</w:t>
            </w:r>
          </w:p>
        </w:tc>
        <w:tc>
          <w:tcPr>
            <w:tcW w:w="1147" w:type="dxa"/>
            <w:noWrap/>
            <w:vAlign w:val="bottom"/>
            <w:hideMark/>
          </w:tcPr>
          <w:p w14:paraId="0D241F36" w14:textId="15809A3A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102,28%</w:t>
            </w:r>
          </w:p>
        </w:tc>
        <w:tc>
          <w:tcPr>
            <w:tcW w:w="1147" w:type="dxa"/>
            <w:noWrap/>
            <w:vAlign w:val="bottom"/>
            <w:hideMark/>
          </w:tcPr>
          <w:p w14:paraId="3DCE0135" w14:textId="5905438C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77,08%</w:t>
            </w:r>
          </w:p>
        </w:tc>
      </w:tr>
      <w:tr w:rsidR="00E22C2A" w:rsidRPr="00A27368" w14:paraId="0FBA7E8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19E3086" w14:textId="419642C0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6522 Prihodi vodnog gospodarstva</w:t>
            </w:r>
          </w:p>
        </w:tc>
        <w:tc>
          <w:tcPr>
            <w:tcW w:w="1565" w:type="dxa"/>
            <w:noWrap/>
            <w:vAlign w:val="bottom"/>
            <w:hideMark/>
          </w:tcPr>
          <w:p w14:paraId="0CB85F32" w14:textId="4F7F4AD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718,53</w:t>
            </w:r>
          </w:p>
        </w:tc>
        <w:tc>
          <w:tcPr>
            <w:tcW w:w="1560" w:type="dxa"/>
            <w:noWrap/>
            <w:vAlign w:val="bottom"/>
            <w:hideMark/>
          </w:tcPr>
          <w:p w14:paraId="1828C4D4" w14:textId="6166B34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F13AD50" w14:textId="3BF8AC3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0ECCE05" w14:textId="75F8B05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15,30</w:t>
            </w:r>
          </w:p>
        </w:tc>
        <w:tc>
          <w:tcPr>
            <w:tcW w:w="1147" w:type="dxa"/>
            <w:noWrap/>
            <w:vAlign w:val="bottom"/>
            <w:hideMark/>
          </w:tcPr>
          <w:p w14:paraId="77A88EAC" w14:textId="5491F7C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2,13%</w:t>
            </w:r>
          </w:p>
        </w:tc>
        <w:tc>
          <w:tcPr>
            <w:tcW w:w="1147" w:type="dxa"/>
            <w:noWrap/>
            <w:vAlign w:val="bottom"/>
            <w:hideMark/>
          </w:tcPr>
          <w:p w14:paraId="18765C2A" w14:textId="7EDBB594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1A036BF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0945DD5" w14:textId="0995B42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6524 Doprinosi za šume</w:t>
            </w:r>
          </w:p>
        </w:tc>
        <w:tc>
          <w:tcPr>
            <w:tcW w:w="1565" w:type="dxa"/>
            <w:noWrap/>
            <w:vAlign w:val="bottom"/>
            <w:hideMark/>
          </w:tcPr>
          <w:p w14:paraId="56E0599E" w14:textId="27496CB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32.729,88</w:t>
            </w:r>
          </w:p>
        </w:tc>
        <w:tc>
          <w:tcPr>
            <w:tcW w:w="1560" w:type="dxa"/>
            <w:noWrap/>
            <w:vAlign w:val="bottom"/>
            <w:hideMark/>
          </w:tcPr>
          <w:p w14:paraId="77DAE6CD" w14:textId="46DB5AB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3D53B10" w14:textId="683473A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4647A091" w14:textId="6CE1E74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33.368,28</w:t>
            </w:r>
          </w:p>
        </w:tc>
        <w:tc>
          <w:tcPr>
            <w:tcW w:w="1147" w:type="dxa"/>
            <w:noWrap/>
            <w:vAlign w:val="bottom"/>
            <w:hideMark/>
          </w:tcPr>
          <w:p w14:paraId="44E7A6A7" w14:textId="1D13C92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101,95%</w:t>
            </w:r>
          </w:p>
        </w:tc>
        <w:tc>
          <w:tcPr>
            <w:tcW w:w="1147" w:type="dxa"/>
            <w:noWrap/>
            <w:vAlign w:val="bottom"/>
            <w:hideMark/>
          </w:tcPr>
          <w:p w14:paraId="05F1358E" w14:textId="1B1900AA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64A4ED7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A60ECAB" w14:textId="603751F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6526 Ostali nespomenuti prihodi</w:t>
            </w:r>
          </w:p>
        </w:tc>
        <w:tc>
          <w:tcPr>
            <w:tcW w:w="1565" w:type="dxa"/>
            <w:noWrap/>
            <w:vAlign w:val="bottom"/>
            <w:hideMark/>
          </w:tcPr>
          <w:p w14:paraId="03642734" w14:textId="455055F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91.070,03</w:t>
            </w:r>
          </w:p>
        </w:tc>
        <w:tc>
          <w:tcPr>
            <w:tcW w:w="1560" w:type="dxa"/>
            <w:noWrap/>
            <w:vAlign w:val="bottom"/>
            <w:hideMark/>
          </w:tcPr>
          <w:p w14:paraId="3440A984" w14:textId="35FE810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FB40C90" w14:textId="7FA9C2E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952C176" w14:textId="3FA1CDF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93.975,92</w:t>
            </w:r>
          </w:p>
        </w:tc>
        <w:tc>
          <w:tcPr>
            <w:tcW w:w="1147" w:type="dxa"/>
            <w:noWrap/>
            <w:vAlign w:val="bottom"/>
            <w:hideMark/>
          </w:tcPr>
          <w:p w14:paraId="66D49AD7" w14:textId="576D07F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103,19%</w:t>
            </w:r>
          </w:p>
        </w:tc>
        <w:tc>
          <w:tcPr>
            <w:tcW w:w="1147" w:type="dxa"/>
            <w:noWrap/>
            <w:vAlign w:val="bottom"/>
            <w:hideMark/>
          </w:tcPr>
          <w:p w14:paraId="0545152F" w14:textId="0CD805B3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588A72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BBF72BC" w14:textId="20E0D63B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653 Komunalni doprinosi i naknade</w:t>
            </w:r>
          </w:p>
        </w:tc>
        <w:tc>
          <w:tcPr>
            <w:tcW w:w="1565" w:type="dxa"/>
            <w:noWrap/>
            <w:vAlign w:val="bottom"/>
            <w:hideMark/>
          </w:tcPr>
          <w:p w14:paraId="6AA16DF6" w14:textId="1E0798A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36.819,45</w:t>
            </w:r>
          </w:p>
        </w:tc>
        <w:tc>
          <w:tcPr>
            <w:tcW w:w="1560" w:type="dxa"/>
            <w:noWrap/>
            <w:vAlign w:val="bottom"/>
            <w:hideMark/>
          </w:tcPr>
          <w:p w14:paraId="4E046423" w14:textId="52A6E26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9827087" w14:textId="5B77164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3C23AE67" w14:textId="298BDA9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64.022,27</w:t>
            </w:r>
          </w:p>
        </w:tc>
        <w:tc>
          <w:tcPr>
            <w:tcW w:w="1147" w:type="dxa"/>
            <w:noWrap/>
            <w:vAlign w:val="bottom"/>
            <w:hideMark/>
          </w:tcPr>
          <w:p w14:paraId="3FE68A92" w14:textId="4C80403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173,88%</w:t>
            </w:r>
          </w:p>
        </w:tc>
        <w:tc>
          <w:tcPr>
            <w:tcW w:w="1147" w:type="dxa"/>
            <w:noWrap/>
            <w:vAlign w:val="bottom"/>
            <w:hideMark/>
          </w:tcPr>
          <w:p w14:paraId="0A5EE520" w14:textId="313E0AE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100,03%</w:t>
            </w:r>
          </w:p>
        </w:tc>
      </w:tr>
      <w:tr w:rsidR="00E22C2A" w:rsidRPr="00A27368" w14:paraId="348762FD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6829683" w14:textId="5A79210B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6531 Komunalni doprinosi</w:t>
            </w:r>
          </w:p>
        </w:tc>
        <w:tc>
          <w:tcPr>
            <w:tcW w:w="1565" w:type="dxa"/>
            <w:noWrap/>
            <w:vAlign w:val="bottom"/>
            <w:hideMark/>
          </w:tcPr>
          <w:p w14:paraId="2AD4CA60" w14:textId="302F7C7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491,07</w:t>
            </w:r>
          </w:p>
        </w:tc>
        <w:tc>
          <w:tcPr>
            <w:tcW w:w="1560" w:type="dxa"/>
            <w:noWrap/>
            <w:vAlign w:val="bottom"/>
            <w:hideMark/>
          </w:tcPr>
          <w:p w14:paraId="406493DA" w14:textId="28C687D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D88D6E7" w14:textId="63554BAB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35A94B6A" w14:textId="1C24A84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3.714,09</w:t>
            </w:r>
          </w:p>
        </w:tc>
        <w:tc>
          <w:tcPr>
            <w:tcW w:w="1147" w:type="dxa"/>
            <w:noWrap/>
            <w:vAlign w:val="bottom"/>
            <w:hideMark/>
          </w:tcPr>
          <w:p w14:paraId="3ABEDFC6" w14:textId="55B998A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756,33%</w:t>
            </w:r>
          </w:p>
        </w:tc>
        <w:tc>
          <w:tcPr>
            <w:tcW w:w="1147" w:type="dxa"/>
            <w:noWrap/>
            <w:vAlign w:val="bottom"/>
            <w:hideMark/>
          </w:tcPr>
          <w:p w14:paraId="479B8698" w14:textId="4C22835B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F95EB1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8ED61B8" w14:textId="5FE99D0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6532 Komunalne naknade</w:t>
            </w:r>
          </w:p>
        </w:tc>
        <w:tc>
          <w:tcPr>
            <w:tcW w:w="1565" w:type="dxa"/>
            <w:noWrap/>
            <w:vAlign w:val="bottom"/>
            <w:hideMark/>
          </w:tcPr>
          <w:p w14:paraId="55CAB991" w14:textId="6D364B0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36.328,38</w:t>
            </w:r>
          </w:p>
        </w:tc>
        <w:tc>
          <w:tcPr>
            <w:tcW w:w="1560" w:type="dxa"/>
            <w:noWrap/>
            <w:vAlign w:val="bottom"/>
            <w:hideMark/>
          </w:tcPr>
          <w:p w14:paraId="5D3DD4D4" w14:textId="56E8CDF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81AAB19" w14:textId="3C31693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222AF02" w14:textId="0CD3E9E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60.308,18</w:t>
            </w:r>
          </w:p>
        </w:tc>
        <w:tc>
          <w:tcPr>
            <w:tcW w:w="1147" w:type="dxa"/>
            <w:noWrap/>
            <w:vAlign w:val="bottom"/>
            <w:hideMark/>
          </w:tcPr>
          <w:p w14:paraId="27A099CC" w14:textId="4B1888E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166,01%</w:t>
            </w:r>
          </w:p>
        </w:tc>
        <w:tc>
          <w:tcPr>
            <w:tcW w:w="1147" w:type="dxa"/>
            <w:noWrap/>
            <w:vAlign w:val="bottom"/>
            <w:hideMark/>
          </w:tcPr>
          <w:p w14:paraId="5738F82E" w14:textId="07495A91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E26E29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5684D75" w14:textId="1BCC68FE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1565" w:type="dxa"/>
            <w:noWrap/>
            <w:vAlign w:val="bottom"/>
            <w:hideMark/>
          </w:tcPr>
          <w:p w14:paraId="3D7070A0" w14:textId="0BE4A6B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20.417,58</w:t>
            </w:r>
          </w:p>
        </w:tc>
        <w:tc>
          <w:tcPr>
            <w:tcW w:w="1560" w:type="dxa"/>
            <w:noWrap/>
            <w:vAlign w:val="bottom"/>
            <w:hideMark/>
          </w:tcPr>
          <w:p w14:paraId="1D9D6BFD" w14:textId="7EB7EF4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21.245,46</w:t>
            </w:r>
          </w:p>
        </w:tc>
        <w:tc>
          <w:tcPr>
            <w:tcW w:w="1559" w:type="dxa"/>
            <w:noWrap/>
            <w:vAlign w:val="bottom"/>
            <w:hideMark/>
          </w:tcPr>
          <w:p w14:paraId="3B4495CA" w14:textId="7453834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10.725,46</w:t>
            </w:r>
          </w:p>
        </w:tc>
        <w:tc>
          <w:tcPr>
            <w:tcW w:w="1499" w:type="dxa"/>
            <w:noWrap/>
            <w:vAlign w:val="bottom"/>
            <w:hideMark/>
          </w:tcPr>
          <w:p w14:paraId="513327CB" w14:textId="36A1C58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5.601,61</w:t>
            </w:r>
          </w:p>
        </w:tc>
        <w:tc>
          <w:tcPr>
            <w:tcW w:w="1147" w:type="dxa"/>
            <w:noWrap/>
            <w:vAlign w:val="bottom"/>
            <w:hideMark/>
          </w:tcPr>
          <w:p w14:paraId="328A868A" w14:textId="48A6897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27,44%</w:t>
            </w:r>
          </w:p>
        </w:tc>
        <w:tc>
          <w:tcPr>
            <w:tcW w:w="1147" w:type="dxa"/>
            <w:noWrap/>
            <w:vAlign w:val="bottom"/>
            <w:hideMark/>
          </w:tcPr>
          <w:p w14:paraId="07583646" w14:textId="574700F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52,23%</w:t>
            </w:r>
          </w:p>
        </w:tc>
      </w:tr>
      <w:tr w:rsidR="00E22C2A" w:rsidRPr="00A27368" w14:paraId="5F6802E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4D069F1" w14:textId="3595E33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661 Prihodi od prodaje proizvoda i robe te pruženih usluga</w:t>
            </w:r>
          </w:p>
        </w:tc>
        <w:tc>
          <w:tcPr>
            <w:tcW w:w="1565" w:type="dxa"/>
            <w:noWrap/>
            <w:vAlign w:val="bottom"/>
            <w:hideMark/>
          </w:tcPr>
          <w:p w14:paraId="1A7D1247" w14:textId="4BD6ABC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3.937,58</w:t>
            </w:r>
          </w:p>
        </w:tc>
        <w:tc>
          <w:tcPr>
            <w:tcW w:w="1560" w:type="dxa"/>
            <w:noWrap/>
            <w:vAlign w:val="bottom"/>
            <w:hideMark/>
          </w:tcPr>
          <w:p w14:paraId="4B32EB75" w14:textId="53E9BD4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B7FD426" w14:textId="50D4922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71FA9E2D" w14:textId="100ABB5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5.121,61</w:t>
            </w:r>
          </w:p>
        </w:tc>
        <w:tc>
          <w:tcPr>
            <w:tcW w:w="1147" w:type="dxa"/>
            <w:noWrap/>
            <w:vAlign w:val="bottom"/>
            <w:hideMark/>
          </w:tcPr>
          <w:p w14:paraId="3693259A" w14:textId="3D0D817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130,07%</w:t>
            </w:r>
          </w:p>
        </w:tc>
        <w:tc>
          <w:tcPr>
            <w:tcW w:w="1147" w:type="dxa"/>
            <w:noWrap/>
            <w:vAlign w:val="bottom"/>
            <w:hideMark/>
          </w:tcPr>
          <w:p w14:paraId="46164529" w14:textId="0E899CC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51,22%</w:t>
            </w:r>
          </w:p>
        </w:tc>
      </w:tr>
      <w:tr w:rsidR="00E22C2A" w:rsidRPr="00A27368" w14:paraId="3211CA3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444E716" w14:textId="5791179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6615 Prihodi od pruženih usluga</w:t>
            </w:r>
          </w:p>
        </w:tc>
        <w:tc>
          <w:tcPr>
            <w:tcW w:w="1565" w:type="dxa"/>
            <w:noWrap/>
            <w:vAlign w:val="bottom"/>
            <w:hideMark/>
          </w:tcPr>
          <w:p w14:paraId="5261F82E" w14:textId="33D30EB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3.937,58</w:t>
            </w:r>
          </w:p>
        </w:tc>
        <w:tc>
          <w:tcPr>
            <w:tcW w:w="1560" w:type="dxa"/>
            <w:noWrap/>
            <w:vAlign w:val="bottom"/>
            <w:hideMark/>
          </w:tcPr>
          <w:p w14:paraId="137AD79A" w14:textId="42E7DC0B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AADEF15" w14:textId="53F164D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DB9E50D" w14:textId="0E14BE1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5.121,61</w:t>
            </w:r>
          </w:p>
        </w:tc>
        <w:tc>
          <w:tcPr>
            <w:tcW w:w="1147" w:type="dxa"/>
            <w:noWrap/>
            <w:vAlign w:val="bottom"/>
            <w:hideMark/>
          </w:tcPr>
          <w:p w14:paraId="4F94F731" w14:textId="5822351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130,07%</w:t>
            </w:r>
          </w:p>
        </w:tc>
        <w:tc>
          <w:tcPr>
            <w:tcW w:w="1147" w:type="dxa"/>
            <w:noWrap/>
            <w:vAlign w:val="bottom"/>
            <w:hideMark/>
          </w:tcPr>
          <w:p w14:paraId="20DBF9FB" w14:textId="335BA3D3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7AEF33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F880E2D" w14:textId="29533E1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663 Donacije od pravnih i fizičkih osoba izvan općeg proračuna te povrat donacija i kapitalnih pomoći po</w:t>
            </w:r>
          </w:p>
        </w:tc>
        <w:tc>
          <w:tcPr>
            <w:tcW w:w="1565" w:type="dxa"/>
            <w:noWrap/>
            <w:vAlign w:val="bottom"/>
            <w:hideMark/>
          </w:tcPr>
          <w:p w14:paraId="5194BEE5" w14:textId="24DFC3F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16.480,00</w:t>
            </w:r>
          </w:p>
        </w:tc>
        <w:tc>
          <w:tcPr>
            <w:tcW w:w="1560" w:type="dxa"/>
            <w:noWrap/>
            <w:vAlign w:val="bottom"/>
            <w:hideMark/>
          </w:tcPr>
          <w:p w14:paraId="526C3C6B" w14:textId="77F400A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1.245,46</w:t>
            </w:r>
          </w:p>
        </w:tc>
        <w:tc>
          <w:tcPr>
            <w:tcW w:w="1559" w:type="dxa"/>
            <w:noWrap/>
            <w:vAlign w:val="bottom"/>
            <w:hideMark/>
          </w:tcPr>
          <w:p w14:paraId="1D56BDEC" w14:textId="5F06281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725,46</w:t>
            </w:r>
          </w:p>
        </w:tc>
        <w:tc>
          <w:tcPr>
            <w:tcW w:w="1499" w:type="dxa"/>
            <w:noWrap/>
            <w:vAlign w:val="bottom"/>
            <w:hideMark/>
          </w:tcPr>
          <w:p w14:paraId="23C0D38A" w14:textId="5D2656F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147" w:type="dxa"/>
            <w:noWrap/>
            <w:vAlign w:val="bottom"/>
            <w:hideMark/>
          </w:tcPr>
          <w:p w14:paraId="37800F94" w14:textId="2BD44DC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2,91%</w:t>
            </w:r>
          </w:p>
        </w:tc>
        <w:tc>
          <w:tcPr>
            <w:tcW w:w="1147" w:type="dxa"/>
            <w:noWrap/>
            <w:vAlign w:val="bottom"/>
            <w:hideMark/>
          </w:tcPr>
          <w:p w14:paraId="46E26E51" w14:textId="0091676F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66,16%</w:t>
            </w:r>
          </w:p>
        </w:tc>
      </w:tr>
      <w:tr w:rsidR="00E22C2A" w:rsidRPr="00A27368" w14:paraId="01B1DC6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DB46982" w14:textId="7410A55C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6631 Tekuće donacije</w:t>
            </w:r>
          </w:p>
        </w:tc>
        <w:tc>
          <w:tcPr>
            <w:tcW w:w="1565" w:type="dxa"/>
            <w:noWrap/>
            <w:vAlign w:val="bottom"/>
            <w:hideMark/>
          </w:tcPr>
          <w:p w14:paraId="5D405772" w14:textId="6FA48B64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4.480,00</w:t>
            </w:r>
          </w:p>
        </w:tc>
        <w:tc>
          <w:tcPr>
            <w:tcW w:w="1560" w:type="dxa"/>
            <w:noWrap/>
            <w:vAlign w:val="bottom"/>
            <w:hideMark/>
          </w:tcPr>
          <w:p w14:paraId="0867AB9A" w14:textId="16847ADC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C2ED7BD" w14:textId="736A0364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C172840" w14:textId="373BE75D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  <w:tc>
          <w:tcPr>
            <w:tcW w:w="1147" w:type="dxa"/>
            <w:noWrap/>
            <w:vAlign w:val="bottom"/>
            <w:hideMark/>
          </w:tcPr>
          <w:p w14:paraId="1F70211A" w14:textId="5D605A45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10,71%</w:t>
            </w:r>
          </w:p>
        </w:tc>
        <w:tc>
          <w:tcPr>
            <w:tcW w:w="1147" w:type="dxa"/>
            <w:noWrap/>
            <w:vAlign w:val="bottom"/>
            <w:hideMark/>
          </w:tcPr>
          <w:p w14:paraId="2BB2B40B" w14:textId="5473FD5B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9CFE71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F61C738" w14:textId="15870070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6632 Kapitalne donacije</w:t>
            </w:r>
          </w:p>
        </w:tc>
        <w:tc>
          <w:tcPr>
            <w:tcW w:w="1565" w:type="dxa"/>
            <w:noWrap/>
            <w:vAlign w:val="bottom"/>
            <w:hideMark/>
          </w:tcPr>
          <w:p w14:paraId="05247ABA" w14:textId="6804EAD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384F1B5" w14:textId="1FB2E3F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7E39992C" w14:textId="2CDF959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2B626D2" w14:textId="187A205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20FC0741" w14:textId="2E1C5D9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7FAF0E98" w14:textId="113FA854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D08B16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7E11939" w14:textId="14AEA0C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1565" w:type="dxa"/>
            <w:noWrap/>
            <w:vAlign w:val="bottom"/>
            <w:hideMark/>
          </w:tcPr>
          <w:p w14:paraId="51917EA4" w14:textId="0A5B5E6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55B438BC" w14:textId="5019582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DF1785B" w14:textId="6C43B49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33A34920" w14:textId="1BBC155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477,83</w:t>
            </w:r>
          </w:p>
        </w:tc>
        <w:tc>
          <w:tcPr>
            <w:tcW w:w="1147" w:type="dxa"/>
            <w:noWrap/>
            <w:vAlign w:val="bottom"/>
            <w:hideMark/>
          </w:tcPr>
          <w:p w14:paraId="1A391317" w14:textId="1E3B97D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1A9E1141" w14:textId="0A58CB45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23,89%</w:t>
            </w:r>
          </w:p>
        </w:tc>
      </w:tr>
      <w:tr w:rsidR="00E22C2A" w:rsidRPr="00A27368" w14:paraId="65C480E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18B48AA" w14:textId="7FFD31E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681 Kazne i upravne mjere</w:t>
            </w:r>
          </w:p>
        </w:tc>
        <w:tc>
          <w:tcPr>
            <w:tcW w:w="1565" w:type="dxa"/>
            <w:noWrap/>
            <w:vAlign w:val="bottom"/>
            <w:hideMark/>
          </w:tcPr>
          <w:p w14:paraId="276F5FBA" w14:textId="7777777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76B81E5C" w14:textId="731878D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071ADAE" w14:textId="2B05717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7420A23B" w14:textId="7F26522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477,83</w:t>
            </w:r>
          </w:p>
        </w:tc>
        <w:tc>
          <w:tcPr>
            <w:tcW w:w="1147" w:type="dxa"/>
            <w:noWrap/>
            <w:vAlign w:val="bottom"/>
            <w:hideMark/>
          </w:tcPr>
          <w:p w14:paraId="22FCB037" w14:textId="27657CF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5300EE58" w14:textId="589AD69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47,78%</w:t>
            </w:r>
          </w:p>
        </w:tc>
      </w:tr>
      <w:tr w:rsidR="00E22C2A" w:rsidRPr="00A27368" w14:paraId="1624AE78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E9317EE" w14:textId="65F96E4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6819 Ostale kazne</w:t>
            </w:r>
          </w:p>
        </w:tc>
        <w:tc>
          <w:tcPr>
            <w:tcW w:w="1565" w:type="dxa"/>
            <w:noWrap/>
            <w:vAlign w:val="bottom"/>
            <w:hideMark/>
          </w:tcPr>
          <w:p w14:paraId="2C09EDC3" w14:textId="0EA8A9F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13F325B0" w14:textId="2D090A3D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71F98E3A" w14:textId="4EDA9B9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DD2373E" w14:textId="1D61C55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477,83</w:t>
            </w:r>
          </w:p>
        </w:tc>
        <w:tc>
          <w:tcPr>
            <w:tcW w:w="1147" w:type="dxa"/>
            <w:noWrap/>
            <w:vAlign w:val="bottom"/>
            <w:hideMark/>
          </w:tcPr>
          <w:p w14:paraId="549DF5DA" w14:textId="701F4BED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4AED8C1A" w14:textId="7BB0A985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AE9A55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845F016" w14:textId="7CA552E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683 Ostali prihodi</w:t>
            </w:r>
          </w:p>
        </w:tc>
        <w:tc>
          <w:tcPr>
            <w:tcW w:w="1565" w:type="dxa"/>
            <w:noWrap/>
            <w:vAlign w:val="bottom"/>
            <w:hideMark/>
          </w:tcPr>
          <w:p w14:paraId="4E184233" w14:textId="544888E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13B07FF0" w14:textId="0BC90EE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528D2C1" w14:textId="797A438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3A2A3BA3" w14:textId="627EA58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013EAA12" w14:textId="55F4758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5C0F1D73" w14:textId="1E4CC1B0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2E2B04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079A4E6" w14:textId="3B11AAF6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55B7C34D" w14:textId="1EEB2C37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1.381,41</w:t>
            </w:r>
          </w:p>
        </w:tc>
        <w:tc>
          <w:tcPr>
            <w:tcW w:w="1560" w:type="dxa"/>
            <w:noWrap/>
            <w:vAlign w:val="bottom"/>
            <w:hideMark/>
          </w:tcPr>
          <w:p w14:paraId="05CC4036" w14:textId="4A7B9254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C81164" w14:textId="5C12DA63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83.628,03</w:t>
            </w:r>
          </w:p>
        </w:tc>
        <w:tc>
          <w:tcPr>
            <w:tcW w:w="1499" w:type="dxa"/>
            <w:noWrap/>
            <w:vAlign w:val="bottom"/>
            <w:hideMark/>
          </w:tcPr>
          <w:p w14:paraId="214FDE88" w14:textId="5A50EDF1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85.881,47</w:t>
            </w:r>
          </w:p>
        </w:tc>
        <w:tc>
          <w:tcPr>
            <w:tcW w:w="1147" w:type="dxa"/>
            <w:noWrap/>
            <w:vAlign w:val="bottom"/>
            <w:hideMark/>
          </w:tcPr>
          <w:p w14:paraId="1018B989" w14:textId="3F03BC1E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6216,94%</w:t>
            </w:r>
          </w:p>
        </w:tc>
        <w:tc>
          <w:tcPr>
            <w:tcW w:w="1147" w:type="dxa"/>
            <w:noWrap/>
            <w:vAlign w:val="bottom"/>
            <w:hideMark/>
          </w:tcPr>
          <w:p w14:paraId="1F92841B" w14:textId="0D549EBF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102,69%</w:t>
            </w:r>
          </w:p>
        </w:tc>
      </w:tr>
      <w:tr w:rsidR="00E22C2A" w:rsidRPr="00A27368" w14:paraId="32C0356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D91CE5D" w14:textId="6EEB570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3DA6AA90" w14:textId="2C93A18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983,25</w:t>
            </w:r>
          </w:p>
        </w:tc>
        <w:tc>
          <w:tcPr>
            <w:tcW w:w="1560" w:type="dxa"/>
            <w:noWrap/>
            <w:vAlign w:val="bottom"/>
            <w:hideMark/>
          </w:tcPr>
          <w:p w14:paraId="3DEA3BEA" w14:textId="275D08A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E096589" w14:textId="4076251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83.028,03</w:t>
            </w:r>
          </w:p>
        </w:tc>
        <w:tc>
          <w:tcPr>
            <w:tcW w:w="1499" w:type="dxa"/>
            <w:noWrap/>
            <w:vAlign w:val="bottom"/>
            <w:hideMark/>
          </w:tcPr>
          <w:p w14:paraId="29891755" w14:textId="0F7A961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85.516,49</w:t>
            </w:r>
          </w:p>
        </w:tc>
        <w:tc>
          <w:tcPr>
            <w:tcW w:w="1147" w:type="dxa"/>
            <w:noWrap/>
            <w:vAlign w:val="bottom"/>
            <w:hideMark/>
          </w:tcPr>
          <w:p w14:paraId="0B50D433" w14:textId="0DAD7C9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8697,33%</w:t>
            </w:r>
          </w:p>
        </w:tc>
        <w:tc>
          <w:tcPr>
            <w:tcW w:w="1147" w:type="dxa"/>
            <w:noWrap/>
            <w:vAlign w:val="bottom"/>
            <w:hideMark/>
          </w:tcPr>
          <w:p w14:paraId="36E96479" w14:textId="5391F896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103,00%</w:t>
            </w:r>
          </w:p>
        </w:tc>
      </w:tr>
      <w:tr w:rsidR="00E22C2A" w:rsidRPr="00A27368" w14:paraId="0E811AE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2CE444F" w14:textId="1E6B7271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711 Prihodi od prodaje materijalne imovine - prirodnih bogatstava</w:t>
            </w:r>
          </w:p>
        </w:tc>
        <w:tc>
          <w:tcPr>
            <w:tcW w:w="1565" w:type="dxa"/>
            <w:noWrap/>
            <w:vAlign w:val="bottom"/>
            <w:hideMark/>
          </w:tcPr>
          <w:p w14:paraId="0E1F3689" w14:textId="2193A4E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983,25</w:t>
            </w:r>
          </w:p>
        </w:tc>
        <w:tc>
          <w:tcPr>
            <w:tcW w:w="1560" w:type="dxa"/>
            <w:noWrap/>
            <w:vAlign w:val="bottom"/>
            <w:hideMark/>
          </w:tcPr>
          <w:p w14:paraId="5E7BE336" w14:textId="3028BA6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1C8665C" w14:textId="4FAD171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83.028,03</w:t>
            </w:r>
          </w:p>
        </w:tc>
        <w:tc>
          <w:tcPr>
            <w:tcW w:w="1499" w:type="dxa"/>
            <w:noWrap/>
            <w:vAlign w:val="bottom"/>
            <w:hideMark/>
          </w:tcPr>
          <w:p w14:paraId="100BA5CD" w14:textId="3E5ADC3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85.516,49</w:t>
            </w:r>
          </w:p>
        </w:tc>
        <w:tc>
          <w:tcPr>
            <w:tcW w:w="1147" w:type="dxa"/>
            <w:noWrap/>
            <w:vAlign w:val="bottom"/>
            <w:hideMark/>
          </w:tcPr>
          <w:p w14:paraId="29E45CCD" w14:textId="3F6A335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8697,33%</w:t>
            </w:r>
          </w:p>
        </w:tc>
        <w:tc>
          <w:tcPr>
            <w:tcW w:w="1147" w:type="dxa"/>
            <w:noWrap/>
            <w:vAlign w:val="bottom"/>
            <w:hideMark/>
          </w:tcPr>
          <w:p w14:paraId="38C8E835" w14:textId="683FDA48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103,00%</w:t>
            </w:r>
          </w:p>
        </w:tc>
      </w:tr>
      <w:tr w:rsidR="00E22C2A" w:rsidRPr="00A27368" w14:paraId="6669617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9F143F2" w14:textId="1AD874C0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7111 Zemljište</w:t>
            </w:r>
          </w:p>
        </w:tc>
        <w:tc>
          <w:tcPr>
            <w:tcW w:w="1565" w:type="dxa"/>
            <w:noWrap/>
            <w:vAlign w:val="bottom"/>
            <w:hideMark/>
          </w:tcPr>
          <w:p w14:paraId="07C8475A" w14:textId="0E2F51B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983,25</w:t>
            </w:r>
          </w:p>
        </w:tc>
        <w:tc>
          <w:tcPr>
            <w:tcW w:w="1560" w:type="dxa"/>
            <w:noWrap/>
            <w:vAlign w:val="bottom"/>
            <w:hideMark/>
          </w:tcPr>
          <w:p w14:paraId="2965F029" w14:textId="485DCA7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6BB0BAB" w14:textId="512C346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0BB707F" w14:textId="27E34E1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85.516,49</w:t>
            </w:r>
          </w:p>
        </w:tc>
        <w:tc>
          <w:tcPr>
            <w:tcW w:w="1147" w:type="dxa"/>
            <w:noWrap/>
            <w:vAlign w:val="bottom"/>
            <w:hideMark/>
          </w:tcPr>
          <w:p w14:paraId="01D775A8" w14:textId="1A53FBCF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8697,33%</w:t>
            </w:r>
          </w:p>
        </w:tc>
        <w:tc>
          <w:tcPr>
            <w:tcW w:w="1147" w:type="dxa"/>
            <w:noWrap/>
            <w:vAlign w:val="bottom"/>
            <w:hideMark/>
          </w:tcPr>
          <w:p w14:paraId="41C96661" w14:textId="7ECDA2AC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2096B72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3CE0FD6" w14:textId="68724B3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4342889E" w14:textId="5692D75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398,16</w:t>
            </w:r>
          </w:p>
        </w:tc>
        <w:tc>
          <w:tcPr>
            <w:tcW w:w="1560" w:type="dxa"/>
            <w:noWrap/>
            <w:vAlign w:val="bottom"/>
            <w:hideMark/>
          </w:tcPr>
          <w:p w14:paraId="6A7FE33F" w14:textId="1AFD166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73DDD86" w14:textId="7BD0C99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499" w:type="dxa"/>
            <w:noWrap/>
            <w:vAlign w:val="bottom"/>
            <w:hideMark/>
          </w:tcPr>
          <w:p w14:paraId="2B683E44" w14:textId="13D2C4E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364,98</w:t>
            </w:r>
          </w:p>
        </w:tc>
        <w:tc>
          <w:tcPr>
            <w:tcW w:w="1147" w:type="dxa"/>
            <w:noWrap/>
            <w:vAlign w:val="bottom"/>
            <w:hideMark/>
          </w:tcPr>
          <w:p w14:paraId="59296F59" w14:textId="14584C7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91,67%</w:t>
            </w:r>
          </w:p>
        </w:tc>
        <w:tc>
          <w:tcPr>
            <w:tcW w:w="1147" w:type="dxa"/>
            <w:noWrap/>
            <w:vAlign w:val="bottom"/>
            <w:hideMark/>
          </w:tcPr>
          <w:p w14:paraId="25A18F76" w14:textId="1A7AAF5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60,83%</w:t>
            </w:r>
          </w:p>
        </w:tc>
      </w:tr>
      <w:tr w:rsidR="00E22C2A" w:rsidRPr="00A27368" w14:paraId="3C907F3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E6BDC7C" w14:textId="21B939B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721 Prihodi od prodaje građevinskih objekata</w:t>
            </w:r>
          </w:p>
        </w:tc>
        <w:tc>
          <w:tcPr>
            <w:tcW w:w="1565" w:type="dxa"/>
            <w:noWrap/>
            <w:vAlign w:val="bottom"/>
            <w:hideMark/>
          </w:tcPr>
          <w:p w14:paraId="0AF68CB7" w14:textId="324859F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398,16</w:t>
            </w:r>
          </w:p>
        </w:tc>
        <w:tc>
          <w:tcPr>
            <w:tcW w:w="1560" w:type="dxa"/>
            <w:noWrap/>
            <w:vAlign w:val="bottom"/>
            <w:hideMark/>
          </w:tcPr>
          <w:p w14:paraId="2F811223" w14:textId="44DD9BD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A19166" w14:textId="297C7B2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9" w:type="dxa"/>
            <w:noWrap/>
            <w:vAlign w:val="bottom"/>
            <w:hideMark/>
          </w:tcPr>
          <w:p w14:paraId="2253B0E0" w14:textId="6C2D0A5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364,98</w:t>
            </w:r>
          </w:p>
        </w:tc>
        <w:tc>
          <w:tcPr>
            <w:tcW w:w="1147" w:type="dxa"/>
            <w:noWrap/>
            <w:vAlign w:val="bottom"/>
            <w:hideMark/>
          </w:tcPr>
          <w:p w14:paraId="7FB54B67" w14:textId="0E9AE2B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91,67%</w:t>
            </w:r>
          </w:p>
        </w:tc>
        <w:tc>
          <w:tcPr>
            <w:tcW w:w="1147" w:type="dxa"/>
            <w:noWrap/>
            <w:vAlign w:val="bottom"/>
            <w:hideMark/>
          </w:tcPr>
          <w:p w14:paraId="691A99F0" w14:textId="07626806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73,00%</w:t>
            </w:r>
          </w:p>
        </w:tc>
      </w:tr>
      <w:tr w:rsidR="00E22C2A" w:rsidRPr="00A27368" w14:paraId="264D72E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E6CC0C4" w14:textId="009007EC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7211 Stambeni objekti</w:t>
            </w:r>
          </w:p>
        </w:tc>
        <w:tc>
          <w:tcPr>
            <w:tcW w:w="1565" w:type="dxa"/>
            <w:noWrap/>
            <w:vAlign w:val="bottom"/>
            <w:hideMark/>
          </w:tcPr>
          <w:p w14:paraId="7D2BCEA1" w14:textId="1ABF52E9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398,16</w:t>
            </w:r>
          </w:p>
        </w:tc>
        <w:tc>
          <w:tcPr>
            <w:tcW w:w="1560" w:type="dxa"/>
            <w:noWrap/>
            <w:vAlign w:val="bottom"/>
            <w:hideMark/>
          </w:tcPr>
          <w:p w14:paraId="14A2F5DF" w14:textId="38DC63D0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ABF1765" w14:textId="79EDF65E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FF15E0D" w14:textId="6BBDE87B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364,98</w:t>
            </w:r>
          </w:p>
        </w:tc>
        <w:tc>
          <w:tcPr>
            <w:tcW w:w="1147" w:type="dxa"/>
            <w:noWrap/>
            <w:vAlign w:val="bottom"/>
            <w:hideMark/>
          </w:tcPr>
          <w:p w14:paraId="09B1E2D5" w14:textId="009F3ED7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91,67%</w:t>
            </w:r>
          </w:p>
        </w:tc>
        <w:tc>
          <w:tcPr>
            <w:tcW w:w="1147" w:type="dxa"/>
            <w:noWrap/>
            <w:vAlign w:val="bottom"/>
            <w:hideMark/>
          </w:tcPr>
          <w:p w14:paraId="0857AB26" w14:textId="783A65E4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EF740E7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43DADD6" w14:textId="55D54075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724 Prihodi od prodaje knjiga, umjetničkih djela i ostalih izložbenih vrijednosti</w:t>
            </w:r>
          </w:p>
        </w:tc>
        <w:tc>
          <w:tcPr>
            <w:tcW w:w="1565" w:type="dxa"/>
            <w:noWrap/>
            <w:vAlign w:val="bottom"/>
            <w:hideMark/>
          </w:tcPr>
          <w:p w14:paraId="4D429AC5" w14:textId="7116A80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0F3861F8" w14:textId="6B046BC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1317E0" w14:textId="1A6D048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99" w:type="dxa"/>
            <w:noWrap/>
            <w:vAlign w:val="bottom"/>
            <w:hideMark/>
          </w:tcPr>
          <w:p w14:paraId="5487A95E" w14:textId="63531D8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73794F71" w14:textId="40F1230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0FE9949F" w14:textId="7DD88572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6EEF560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E8186AE" w14:textId="5167217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565" w:type="dxa"/>
            <w:noWrap/>
            <w:vAlign w:val="bottom"/>
            <w:hideMark/>
          </w:tcPr>
          <w:p w14:paraId="0A1893DC" w14:textId="1BD8E2C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2.383.144,19</w:t>
            </w:r>
          </w:p>
        </w:tc>
        <w:tc>
          <w:tcPr>
            <w:tcW w:w="1560" w:type="dxa"/>
            <w:noWrap/>
            <w:vAlign w:val="bottom"/>
            <w:hideMark/>
          </w:tcPr>
          <w:p w14:paraId="6BED1FCF" w14:textId="7B9C847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3.010.942,29</w:t>
            </w:r>
          </w:p>
        </w:tc>
        <w:tc>
          <w:tcPr>
            <w:tcW w:w="1559" w:type="dxa"/>
            <w:noWrap/>
            <w:vAlign w:val="bottom"/>
            <w:hideMark/>
          </w:tcPr>
          <w:p w14:paraId="02EA2D95" w14:textId="7F32361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2.899.323,13</w:t>
            </w:r>
          </w:p>
        </w:tc>
        <w:tc>
          <w:tcPr>
            <w:tcW w:w="1499" w:type="dxa"/>
            <w:noWrap/>
            <w:vAlign w:val="bottom"/>
            <w:hideMark/>
          </w:tcPr>
          <w:p w14:paraId="6CE35776" w14:textId="70FA574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2.819.775,71</w:t>
            </w:r>
          </w:p>
        </w:tc>
        <w:tc>
          <w:tcPr>
            <w:tcW w:w="1147" w:type="dxa"/>
            <w:noWrap/>
            <w:vAlign w:val="bottom"/>
            <w:hideMark/>
          </w:tcPr>
          <w:p w14:paraId="689F3BC2" w14:textId="0D72D9E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118,32%</w:t>
            </w:r>
          </w:p>
        </w:tc>
        <w:tc>
          <w:tcPr>
            <w:tcW w:w="1147" w:type="dxa"/>
            <w:noWrap/>
            <w:vAlign w:val="bottom"/>
            <w:hideMark/>
          </w:tcPr>
          <w:p w14:paraId="3FC475FE" w14:textId="53E190F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97,26%</w:t>
            </w:r>
          </w:p>
        </w:tc>
      </w:tr>
      <w:tr w:rsidR="00E22C2A" w:rsidRPr="00A27368" w14:paraId="7A955F88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EC54D8C" w14:textId="53A11BDA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565" w:type="dxa"/>
            <w:noWrap/>
            <w:vAlign w:val="bottom"/>
            <w:hideMark/>
          </w:tcPr>
          <w:p w14:paraId="223CD472" w14:textId="7BD6CE08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478.115,58</w:t>
            </w:r>
          </w:p>
        </w:tc>
        <w:tc>
          <w:tcPr>
            <w:tcW w:w="1560" w:type="dxa"/>
            <w:noWrap/>
            <w:vAlign w:val="bottom"/>
            <w:hideMark/>
          </w:tcPr>
          <w:p w14:paraId="12AED223" w14:textId="0FE51933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511.232,65</w:t>
            </w:r>
          </w:p>
        </w:tc>
        <w:tc>
          <w:tcPr>
            <w:tcW w:w="1559" w:type="dxa"/>
            <w:noWrap/>
            <w:vAlign w:val="bottom"/>
            <w:hideMark/>
          </w:tcPr>
          <w:p w14:paraId="57C04F72" w14:textId="3BCB118E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590.180,26</w:t>
            </w:r>
          </w:p>
        </w:tc>
        <w:tc>
          <w:tcPr>
            <w:tcW w:w="1499" w:type="dxa"/>
            <w:noWrap/>
            <w:vAlign w:val="bottom"/>
            <w:hideMark/>
          </w:tcPr>
          <w:p w14:paraId="07B4B43D" w14:textId="110DE3D0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589.748,46</w:t>
            </w:r>
          </w:p>
        </w:tc>
        <w:tc>
          <w:tcPr>
            <w:tcW w:w="1147" w:type="dxa"/>
            <w:noWrap/>
            <w:vAlign w:val="bottom"/>
            <w:hideMark/>
          </w:tcPr>
          <w:p w14:paraId="3A734A3F" w14:textId="7E968F4D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123,35%</w:t>
            </w:r>
          </w:p>
        </w:tc>
        <w:tc>
          <w:tcPr>
            <w:tcW w:w="1147" w:type="dxa"/>
            <w:noWrap/>
            <w:vAlign w:val="bottom"/>
            <w:hideMark/>
          </w:tcPr>
          <w:p w14:paraId="73F434AA" w14:textId="5431B9DF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99,93%</w:t>
            </w:r>
          </w:p>
        </w:tc>
      </w:tr>
      <w:tr w:rsidR="00E22C2A" w:rsidRPr="00A27368" w14:paraId="7C7C063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F7ED553" w14:textId="2FA53E06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311 Plaće (Bruto)</w:t>
            </w:r>
          </w:p>
        </w:tc>
        <w:tc>
          <w:tcPr>
            <w:tcW w:w="1565" w:type="dxa"/>
            <w:noWrap/>
            <w:vAlign w:val="bottom"/>
            <w:hideMark/>
          </w:tcPr>
          <w:p w14:paraId="4FCAA0CD" w14:textId="238E79C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371.845,91</w:t>
            </w:r>
          </w:p>
        </w:tc>
        <w:tc>
          <w:tcPr>
            <w:tcW w:w="1560" w:type="dxa"/>
            <w:noWrap/>
            <w:vAlign w:val="bottom"/>
            <w:hideMark/>
          </w:tcPr>
          <w:p w14:paraId="2B87B589" w14:textId="4E920A5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389.753,83</w:t>
            </w:r>
          </w:p>
        </w:tc>
        <w:tc>
          <w:tcPr>
            <w:tcW w:w="1559" w:type="dxa"/>
            <w:noWrap/>
            <w:vAlign w:val="bottom"/>
            <w:hideMark/>
          </w:tcPr>
          <w:p w14:paraId="104C132D" w14:textId="622F93E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452.576,74</w:t>
            </w:r>
          </w:p>
        </w:tc>
        <w:tc>
          <w:tcPr>
            <w:tcW w:w="1499" w:type="dxa"/>
            <w:noWrap/>
            <w:vAlign w:val="bottom"/>
            <w:hideMark/>
          </w:tcPr>
          <w:p w14:paraId="518866FC" w14:textId="088CB54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446.004,47</w:t>
            </w:r>
          </w:p>
        </w:tc>
        <w:tc>
          <w:tcPr>
            <w:tcW w:w="1147" w:type="dxa"/>
            <w:noWrap/>
            <w:vAlign w:val="bottom"/>
            <w:hideMark/>
          </w:tcPr>
          <w:p w14:paraId="78E3AFE1" w14:textId="6355FBE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119,94%</w:t>
            </w:r>
          </w:p>
        </w:tc>
        <w:tc>
          <w:tcPr>
            <w:tcW w:w="1147" w:type="dxa"/>
            <w:noWrap/>
            <w:vAlign w:val="bottom"/>
            <w:hideMark/>
          </w:tcPr>
          <w:p w14:paraId="51DF3EE0" w14:textId="262A93F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98,55%</w:t>
            </w:r>
          </w:p>
        </w:tc>
      </w:tr>
      <w:tr w:rsidR="00E22C2A" w:rsidRPr="00A27368" w14:paraId="6C67B7B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D067871" w14:textId="122BA25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1565" w:type="dxa"/>
            <w:noWrap/>
            <w:vAlign w:val="bottom"/>
            <w:hideMark/>
          </w:tcPr>
          <w:p w14:paraId="3C475D98" w14:textId="441F5EF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371.845,91</w:t>
            </w:r>
          </w:p>
        </w:tc>
        <w:tc>
          <w:tcPr>
            <w:tcW w:w="1560" w:type="dxa"/>
            <w:noWrap/>
            <w:vAlign w:val="bottom"/>
            <w:hideMark/>
          </w:tcPr>
          <w:p w14:paraId="18DE6231" w14:textId="028BF95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669C0B4" w14:textId="4EE9218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42127722" w14:textId="08C80D8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446.004,47</w:t>
            </w:r>
          </w:p>
        </w:tc>
        <w:tc>
          <w:tcPr>
            <w:tcW w:w="1147" w:type="dxa"/>
            <w:noWrap/>
            <w:vAlign w:val="bottom"/>
            <w:hideMark/>
          </w:tcPr>
          <w:p w14:paraId="5971209A" w14:textId="2A93B4B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119,94%</w:t>
            </w:r>
          </w:p>
        </w:tc>
        <w:tc>
          <w:tcPr>
            <w:tcW w:w="1147" w:type="dxa"/>
            <w:noWrap/>
            <w:vAlign w:val="bottom"/>
            <w:hideMark/>
          </w:tcPr>
          <w:p w14:paraId="63FC9833" w14:textId="7F892A71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FA63E1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1FFC37E" w14:textId="2566224B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312 Ostali rashodi za zaposlene</w:t>
            </w:r>
          </w:p>
        </w:tc>
        <w:tc>
          <w:tcPr>
            <w:tcW w:w="1565" w:type="dxa"/>
            <w:noWrap/>
            <w:vAlign w:val="bottom"/>
            <w:hideMark/>
          </w:tcPr>
          <w:p w14:paraId="2BFB94B6" w14:textId="5A3E59E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47.465,77</w:t>
            </w:r>
          </w:p>
        </w:tc>
        <w:tc>
          <w:tcPr>
            <w:tcW w:w="1560" w:type="dxa"/>
            <w:noWrap/>
            <w:vAlign w:val="bottom"/>
            <w:hideMark/>
          </w:tcPr>
          <w:p w14:paraId="6D84DF15" w14:textId="7CC4C4E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60.282,65</w:t>
            </w:r>
          </w:p>
        </w:tc>
        <w:tc>
          <w:tcPr>
            <w:tcW w:w="1559" w:type="dxa"/>
            <w:noWrap/>
            <w:vAlign w:val="bottom"/>
            <w:hideMark/>
          </w:tcPr>
          <w:p w14:paraId="1D6F2816" w14:textId="2A6A86B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70.456,35</w:t>
            </w:r>
          </w:p>
        </w:tc>
        <w:tc>
          <w:tcPr>
            <w:tcW w:w="1499" w:type="dxa"/>
            <w:noWrap/>
            <w:vAlign w:val="bottom"/>
            <w:hideMark/>
          </w:tcPr>
          <w:p w14:paraId="4C61866B" w14:textId="53BEEC2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70.850,00</w:t>
            </w:r>
          </w:p>
        </w:tc>
        <w:tc>
          <w:tcPr>
            <w:tcW w:w="1147" w:type="dxa"/>
            <w:noWrap/>
            <w:vAlign w:val="bottom"/>
            <w:hideMark/>
          </w:tcPr>
          <w:p w14:paraId="546E9A13" w14:textId="0055D52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149,27%</w:t>
            </w:r>
          </w:p>
        </w:tc>
        <w:tc>
          <w:tcPr>
            <w:tcW w:w="1147" w:type="dxa"/>
            <w:noWrap/>
            <w:vAlign w:val="bottom"/>
            <w:hideMark/>
          </w:tcPr>
          <w:p w14:paraId="3219B7A0" w14:textId="77DFEB1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100,56%</w:t>
            </w:r>
          </w:p>
        </w:tc>
      </w:tr>
      <w:tr w:rsidR="00E22C2A" w:rsidRPr="00A27368" w14:paraId="1B7BDD4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7A96880" w14:textId="2EC1EE81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3121 Ostali rashodi za zaposlene</w:t>
            </w:r>
          </w:p>
        </w:tc>
        <w:tc>
          <w:tcPr>
            <w:tcW w:w="1565" w:type="dxa"/>
            <w:noWrap/>
            <w:vAlign w:val="bottom"/>
            <w:hideMark/>
          </w:tcPr>
          <w:p w14:paraId="491AD668" w14:textId="60E79A9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47.465,77</w:t>
            </w:r>
          </w:p>
        </w:tc>
        <w:tc>
          <w:tcPr>
            <w:tcW w:w="1560" w:type="dxa"/>
            <w:noWrap/>
            <w:vAlign w:val="bottom"/>
            <w:hideMark/>
          </w:tcPr>
          <w:p w14:paraId="25A040CE" w14:textId="3022508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FE2DD54" w14:textId="2F77EAF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D51A5BA" w14:textId="267DC7B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70.850,00</w:t>
            </w:r>
          </w:p>
        </w:tc>
        <w:tc>
          <w:tcPr>
            <w:tcW w:w="1147" w:type="dxa"/>
            <w:noWrap/>
            <w:vAlign w:val="bottom"/>
            <w:hideMark/>
          </w:tcPr>
          <w:p w14:paraId="104F8B9E" w14:textId="292E574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149,27%</w:t>
            </w:r>
          </w:p>
        </w:tc>
        <w:tc>
          <w:tcPr>
            <w:tcW w:w="1147" w:type="dxa"/>
            <w:noWrap/>
            <w:vAlign w:val="bottom"/>
            <w:hideMark/>
          </w:tcPr>
          <w:p w14:paraId="56ABE4F8" w14:textId="755516CA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9F9F56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9E3D450" w14:textId="61800B8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313 Doprinosi na plaće</w:t>
            </w:r>
          </w:p>
        </w:tc>
        <w:tc>
          <w:tcPr>
            <w:tcW w:w="1565" w:type="dxa"/>
            <w:noWrap/>
            <w:vAlign w:val="bottom"/>
            <w:hideMark/>
          </w:tcPr>
          <w:p w14:paraId="3454E8C4" w14:textId="08480B0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58.803,90</w:t>
            </w:r>
          </w:p>
        </w:tc>
        <w:tc>
          <w:tcPr>
            <w:tcW w:w="1560" w:type="dxa"/>
            <w:noWrap/>
            <w:vAlign w:val="bottom"/>
            <w:hideMark/>
          </w:tcPr>
          <w:p w14:paraId="387269AA" w14:textId="360F2EB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61.196,17</w:t>
            </w:r>
          </w:p>
        </w:tc>
        <w:tc>
          <w:tcPr>
            <w:tcW w:w="1559" w:type="dxa"/>
            <w:noWrap/>
            <w:vAlign w:val="bottom"/>
            <w:hideMark/>
          </w:tcPr>
          <w:p w14:paraId="184C7D05" w14:textId="7CB2072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67.147,17</w:t>
            </w:r>
          </w:p>
        </w:tc>
        <w:tc>
          <w:tcPr>
            <w:tcW w:w="1499" w:type="dxa"/>
            <w:noWrap/>
            <w:vAlign w:val="bottom"/>
            <w:hideMark/>
          </w:tcPr>
          <w:p w14:paraId="4964EFA0" w14:textId="54C946B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72.893,99</w:t>
            </w:r>
          </w:p>
        </w:tc>
        <w:tc>
          <w:tcPr>
            <w:tcW w:w="1147" w:type="dxa"/>
            <w:noWrap/>
            <w:vAlign w:val="bottom"/>
            <w:hideMark/>
          </w:tcPr>
          <w:p w14:paraId="4049998D" w14:textId="0822931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123,96%</w:t>
            </w:r>
          </w:p>
        </w:tc>
        <w:tc>
          <w:tcPr>
            <w:tcW w:w="1147" w:type="dxa"/>
            <w:noWrap/>
            <w:vAlign w:val="bottom"/>
            <w:hideMark/>
          </w:tcPr>
          <w:p w14:paraId="62949A8D" w14:textId="317220E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108,56%</w:t>
            </w:r>
          </w:p>
        </w:tc>
      </w:tr>
      <w:tr w:rsidR="00E22C2A" w:rsidRPr="00A27368" w14:paraId="6A2D9F2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5476222" w14:textId="6861B90F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65" w:type="dxa"/>
            <w:noWrap/>
            <w:vAlign w:val="bottom"/>
            <w:hideMark/>
          </w:tcPr>
          <w:p w14:paraId="1E8C6861" w14:textId="545073BB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58.803,90</w:t>
            </w:r>
          </w:p>
        </w:tc>
        <w:tc>
          <w:tcPr>
            <w:tcW w:w="1560" w:type="dxa"/>
            <w:noWrap/>
            <w:vAlign w:val="bottom"/>
            <w:hideMark/>
          </w:tcPr>
          <w:p w14:paraId="0B8D034B" w14:textId="2D74A99F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BC4149C" w14:textId="6F9C06AF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C577FA2" w14:textId="16451540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72.893,99</w:t>
            </w:r>
          </w:p>
        </w:tc>
        <w:tc>
          <w:tcPr>
            <w:tcW w:w="1147" w:type="dxa"/>
            <w:noWrap/>
            <w:vAlign w:val="bottom"/>
            <w:hideMark/>
          </w:tcPr>
          <w:p w14:paraId="73C85752" w14:textId="6ADC1AA4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123,96%</w:t>
            </w:r>
          </w:p>
        </w:tc>
        <w:tc>
          <w:tcPr>
            <w:tcW w:w="1147" w:type="dxa"/>
            <w:noWrap/>
            <w:vAlign w:val="bottom"/>
            <w:hideMark/>
          </w:tcPr>
          <w:p w14:paraId="67CACD29" w14:textId="18F707BB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D4C1E3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33F34F1" w14:textId="3A6E5FEF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565" w:type="dxa"/>
            <w:noWrap/>
            <w:vAlign w:val="bottom"/>
            <w:hideMark/>
          </w:tcPr>
          <w:p w14:paraId="5ADEEDF9" w14:textId="71F5AEC6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1.195.749,66</w:t>
            </w:r>
          </w:p>
        </w:tc>
        <w:tc>
          <w:tcPr>
            <w:tcW w:w="1560" w:type="dxa"/>
            <w:noWrap/>
            <w:vAlign w:val="bottom"/>
            <w:hideMark/>
          </w:tcPr>
          <w:p w14:paraId="355C3D01" w14:textId="7A0EDFC5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1.347.371,79</w:t>
            </w:r>
          </w:p>
        </w:tc>
        <w:tc>
          <w:tcPr>
            <w:tcW w:w="1559" w:type="dxa"/>
            <w:noWrap/>
            <w:vAlign w:val="bottom"/>
            <w:hideMark/>
          </w:tcPr>
          <w:p w14:paraId="2E9D1725" w14:textId="7B9674B5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1.404.677,45</w:t>
            </w:r>
          </w:p>
        </w:tc>
        <w:tc>
          <w:tcPr>
            <w:tcW w:w="1499" w:type="dxa"/>
            <w:noWrap/>
            <w:vAlign w:val="bottom"/>
            <w:hideMark/>
          </w:tcPr>
          <w:p w14:paraId="5B8DC0BB" w14:textId="1277E9F8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1.375.694,30</w:t>
            </w:r>
          </w:p>
        </w:tc>
        <w:tc>
          <w:tcPr>
            <w:tcW w:w="1147" w:type="dxa"/>
            <w:noWrap/>
            <w:vAlign w:val="bottom"/>
            <w:hideMark/>
          </w:tcPr>
          <w:p w14:paraId="68279B0D" w14:textId="41E28515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115,05%</w:t>
            </w:r>
          </w:p>
        </w:tc>
        <w:tc>
          <w:tcPr>
            <w:tcW w:w="1147" w:type="dxa"/>
            <w:noWrap/>
            <w:vAlign w:val="bottom"/>
            <w:hideMark/>
          </w:tcPr>
          <w:p w14:paraId="527428C0" w14:textId="7FD15469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97,94%</w:t>
            </w:r>
          </w:p>
        </w:tc>
      </w:tr>
      <w:tr w:rsidR="00E22C2A" w:rsidRPr="00A27368" w14:paraId="7A127E1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C304DB1" w14:textId="4C1079C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321 Naknade troškova zaposlenima</w:t>
            </w:r>
          </w:p>
        </w:tc>
        <w:tc>
          <w:tcPr>
            <w:tcW w:w="1565" w:type="dxa"/>
            <w:noWrap/>
            <w:vAlign w:val="bottom"/>
            <w:hideMark/>
          </w:tcPr>
          <w:p w14:paraId="64216919" w14:textId="17929FA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33.186,19</w:t>
            </w:r>
          </w:p>
        </w:tc>
        <w:tc>
          <w:tcPr>
            <w:tcW w:w="1560" w:type="dxa"/>
            <w:noWrap/>
            <w:vAlign w:val="bottom"/>
            <w:hideMark/>
          </w:tcPr>
          <w:p w14:paraId="70C9D033" w14:textId="540F94C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34.358,37</w:t>
            </w:r>
          </w:p>
        </w:tc>
        <w:tc>
          <w:tcPr>
            <w:tcW w:w="1559" w:type="dxa"/>
            <w:noWrap/>
            <w:vAlign w:val="bottom"/>
            <w:hideMark/>
          </w:tcPr>
          <w:p w14:paraId="094538DB" w14:textId="1669465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29.015,77</w:t>
            </w:r>
          </w:p>
        </w:tc>
        <w:tc>
          <w:tcPr>
            <w:tcW w:w="1499" w:type="dxa"/>
            <w:noWrap/>
            <w:vAlign w:val="bottom"/>
            <w:hideMark/>
          </w:tcPr>
          <w:p w14:paraId="3FA2D4A5" w14:textId="667F1C7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27.279,35</w:t>
            </w:r>
          </w:p>
        </w:tc>
        <w:tc>
          <w:tcPr>
            <w:tcW w:w="1147" w:type="dxa"/>
            <w:noWrap/>
            <w:vAlign w:val="bottom"/>
            <w:hideMark/>
          </w:tcPr>
          <w:p w14:paraId="64C4826D" w14:textId="18BEC2C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82,20%</w:t>
            </w:r>
          </w:p>
        </w:tc>
        <w:tc>
          <w:tcPr>
            <w:tcW w:w="1147" w:type="dxa"/>
            <w:noWrap/>
            <w:vAlign w:val="bottom"/>
            <w:hideMark/>
          </w:tcPr>
          <w:p w14:paraId="61CC6A2F" w14:textId="2F3A32B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94,02%</w:t>
            </w:r>
          </w:p>
        </w:tc>
      </w:tr>
      <w:tr w:rsidR="00E22C2A" w:rsidRPr="00A27368" w14:paraId="3B030D4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27B28B8" w14:textId="27783891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1565" w:type="dxa"/>
            <w:noWrap/>
            <w:vAlign w:val="bottom"/>
            <w:hideMark/>
          </w:tcPr>
          <w:p w14:paraId="39D5ECE4" w14:textId="1C05FC6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4.353,98</w:t>
            </w:r>
          </w:p>
        </w:tc>
        <w:tc>
          <w:tcPr>
            <w:tcW w:w="1560" w:type="dxa"/>
            <w:noWrap/>
            <w:vAlign w:val="bottom"/>
            <w:hideMark/>
          </w:tcPr>
          <w:p w14:paraId="5EEDBCB2" w14:textId="2CB19D5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16CD8A5" w14:textId="34ECFD5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7C025EF" w14:textId="1F8F734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4.058,84</w:t>
            </w:r>
          </w:p>
        </w:tc>
        <w:tc>
          <w:tcPr>
            <w:tcW w:w="1147" w:type="dxa"/>
            <w:noWrap/>
            <w:vAlign w:val="bottom"/>
            <w:hideMark/>
          </w:tcPr>
          <w:p w14:paraId="117BFC32" w14:textId="6917C24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93,22%</w:t>
            </w:r>
          </w:p>
        </w:tc>
        <w:tc>
          <w:tcPr>
            <w:tcW w:w="1147" w:type="dxa"/>
            <w:noWrap/>
            <w:vAlign w:val="bottom"/>
            <w:hideMark/>
          </w:tcPr>
          <w:p w14:paraId="5C86D0BF" w14:textId="4F861063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1E53DE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F2100C1" w14:textId="6C8B7962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65" w:type="dxa"/>
            <w:noWrap/>
            <w:vAlign w:val="bottom"/>
            <w:hideMark/>
          </w:tcPr>
          <w:p w14:paraId="3026F383" w14:textId="04F4F3A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14.729,02</w:t>
            </w:r>
          </w:p>
        </w:tc>
        <w:tc>
          <w:tcPr>
            <w:tcW w:w="1560" w:type="dxa"/>
            <w:noWrap/>
            <w:vAlign w:val="bottom"/>
            <w:hideMark/>
          </w:tcPr>
          <w:p w14:paraId="6158A4C1" w14:textId="4434584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0B57AD9" w14:textId="272BC3B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D369E89" w14:textId="7545852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11.469,38</w:t>
            </w:r>
          </w:p>
        </w:tc>
        <w:tc>
          <w:tcPr>
            <w:tcW w:w="1147" w:type="dxa"/>
            <w:noWrap/>
            <w:vAlign w:val="bottom"/>
            <w:hideMark/>
          </w:tcPr>
          <w:p w14:paraId="636CE774" w14:textId="4710249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77,87%</w:t>
            </w:r>
          </w:p>
        </w:tc>
        <w:tc>
          <w:tcPr>
            <w:tcW w:w="1147" w:type="dxa"/>
            <w:noWrap/>
            <w:vAlign w:val="bottom"/>
            <w:hideMark/>
          </w:tcPr>
          <w:p w14:paraId="63F82661" w14:textId="5158E83C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93CB8AD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28427D3" w14:textId="49344BF9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3213 Stručno usavršavanje zaposlenika</w:t>
            </w:r>
          </w:p>
        </w:tc>
        <w:tc>
          <w:tcPr>
            <w:tcW w:w="1565" w:type="dxa"/>
            <w:noWrap/>
            <w:vAlign w:val="bottom"/>
            <w:hideMark/>
          </w:tcPr>
          <w:p w14:paraId="72F894E1" w14:textId="7B17C1F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6.306,42</w:t>
            </w:r>
          </w:p>
        </w:tc>
        <w:tc>
          <w:tcPr>
            <w:tcW w:w="1560" w:type="dxa"/>
            <w:noWrap/>
            <w:vAlign w:val="bottom"/>
            <w:hideMark/>
          </w:tcPr>
          <w:p w14:paraId="457463AA" w14:textId="5979192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D204834" w14:textId="15C6500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A7EA564" w14:textId="27886D1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4.944,82</w:t>
            </w:r>
          </w:p>
        </w:tc>
        <w:tc>
          <w:tcPr>
            <w:tcW w:w="1147" w:type="dxa"/>
            <w:noWrap/>
            <w:vAlign w:val="bottom"/>
            <w:hideMark/>
          </w:tcPr>
          <w:p w14:paraId="679BD780" w14:textId="55397F3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78,41%</w:t>
            </w:r>
          </w:p>
        </w:tc>
        <w:tc>
          <w:tcPr>
            <w:tcW w:w="1147" w:type="dxa"/>
            <w:noWrap/>
            <w:vAlign w:val="bottom"/>
            <w:hideMark/>
          </w:tcPr>
          <w:p w14:paraId="60A7322C" w14:textId="19D30C52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E7FEA1A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9856D88" w14:textId="370C4C0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3214 Ostale naknade troškova zaposlenima</w:t>
            </w:r>
          </w:p>
        </w:tc>
        <w:tc>
          <w:tcPr>
            <w:tcW w:w="1565" w:type="dxa"/>
            <w:noWrap/>
            <w:vAlign w:val="bottom"/>
            <w:hideMark/>
          </w:tcPr>
          <w:p w14:paraId="0EC7EC73" w14:textId="22910DD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7.796,77</w:t>
            </w:r>
          </w:p>
        </w:tc>
        <w:tc>
          <w:tcPr>
            <w:tcW w:w="1560" w:type="dxa"/>
            <w:noWrap/>
            <w:vAlign w:val="bottom"/>
            <w:hideMark/>
          </w:tcPr>
          <w:p w14:paraId="26C6BCF0" w14:textId="31CD5FE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14B0FC4" w14:textId="2EE4F67D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7A89E1B" w14:textId="07CF156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6.806,31</w:t>
            </w:r>
          </w:p>
        </w:tc>
        <w:tc>
          <w:tcPr>
            <w:tcW w:w="1147" w:type="dxa"/>
            <w:noWrap/>
            <w:vAlign w:val="bottom"/>
            <w:hideMark/>
          </w:tcPr>
          <w:p w14:paraId="0AC64BBA" w14:textId="7999210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87,30%</w:t>
            </w:r>
          </w:p>
        </w:tc>
        <w:tc>
          <w:tcPr>
            <w:tcW w:w="1147" w:type="dxa"/>
            <w:noWrap/>
            <w:vAlign w:val="bottom"/>
            <w:hideMark/>
          </w:tcPr>
          <w:p w14:paraId="7453D0D8" w14:textId="0295ACF1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1F000AA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C44B633" w14:textId="189FFC9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322 Rashodi za materijal i energiju</w:t>
            </w:r>
          </w:p>
        </w:tc>
        <w:tc>
          <w:tcPr>
            <w:tcW w:w="1565" w:type="dxa"/>
            <w:noWrap/>
            <w:vAlign w:val="bottom"/>
            <w:hideMark/>
          </w:tcPr>
          <w:p w14:paraId="130E7256" w14:textId="1D7436C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144.002,86</w:t>
            </w:r>
          </w:p>
        </w:tc>
        <w:tc>
          <w:tcPr>
            <w:tcW w:w="1560" w:type="dxa"/>
            <w:noWrap/>
            <w:vAlign w:val="bottom"/>
            <w:hideMark/>
          </w:tcPr>
          <w:p w14:paraId="2C44FC60" w14:textId="2BFC6D7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177.082,32</w:t>
            </w:r>
          </w:p>
        </w:tc>
        <w:tc>
          <w:tcPr>
            <w:tcW w:w="1559" w:type="dxa"/>
            <w:noWrap/>
            <w:vAlign w:val="bottom"/>
            <w:hideMark/>
          </w:tcPr>
          <w:p w14:paraId="6D92AC04" w14:textId="36730A6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185.253,42</w:t>
            </w:r>
          </w:p>
        </w:tc>
        <w:tc>
          <w:tcPr>
            <w:tcW w:w="1499" w:type="dxa"/>
            <w:noWrap/>
            <w:vAlign w:val="bottom"/>
            <w:hideMark/>
          </w:tcPr>
          <w:p w14:paraId="2EDDF7AF" w14:textId="60F0026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177.969,43</w:t>
            </w:r>
          </w:p>
        </w:tc>
        <w:tc>
          <w:tcPr>
            <w:tcW w:w="1147" w:type="dxa"/>
            <w:noWrap/>
            <w:vAlign w:val="bottom"/>
            <w:hideMark/>
          </w:tcPr>
          <w:p w14:paraId="1473D383" w14:textId="0EA70F8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123,59%</w:t>
            </w:r>
          </w:p>
        </w:tc>
        <w:tc>
          <w:tcPr>
            <w:tcW w:w="1147" w:type="dxa"/>
            <w:noWrap/>
            <w:vAlign w:val="bottom"/>
            <w:hideMark/>
          </w:tcPr>
          <w:p w14:paraId="3A860163" w14:textId="7C11CCCF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96,07%</w:t>
            </w:r>
          </w:p>
        </w:tc>
      </w:tr>
      <w:tr w:rsidR="00E22C2A" w:rsidRPr="00A27368" w14:paraId="6BA536BA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F566176" w14:textId="4655E82E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65" w:type="dxa"/>
            <w:noWrap/>
            <w:vAlign w:val="bottom"/>
            <w:hideMark/>
          </w:tcPr>
          <w:p w14:paraId="1FE5AE55" w14:textId="68B9030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27.399,45</w:t>
            </w:r>
          </w:p>
        </w:tc>
        <w:tc>
          <w:tcPr>
            <w:tcW w:w="1560" w:type="dxa"/>
            <w:noWrap/>
            <w:vAlign w:val="bottom"/>
            <w:hideMark/>
          </w:tcPr>
          <w:p w14:paraId="495DAAC6" w14:textId="1CB606F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96D5B1A" w14:textId="0E3659B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34CC0DF" w14:textId="561CCAD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36.041,66</w:t>
            </w:r>
          </w:p>
        </w:tc>
        <w:tc>
          <w:tcPr>
            <w:tcW w:w="1147" w:type="dxa"/>
            <w:noWrap/>
            <w:vAlign w:val="bottom"/>
            <w:hideMark/>
          </w:tcPr>
          <w:p w14:paraId="12900F58" w14:textId="278648F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131,54%</w:t>
            </w:r>
          </w:p>
        </w:tc>
        <w:tc>
          <w:tcPr>
            <w:tcW w:w="1147" w:type="dxa"/>
            <w:noWrap/>
            <w:vAlign w:val="bottom"/>
            <w:hideMark/>
          </w:tcPr>
          <w:p w14:paraId="3BA95EC3" w14:textId="6665AF95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5D4E31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C31803F" w14:textId="1DC27A97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3222 Materijal i sirovine</w:t>
            </w:r>
          </w:p>
        </w:tc>
        <w:tc>
          <w:tcPr>
            <w:tcW w:w="1565" w:type="dxa"/>
            <w:noWrap/>
            <w:vAlign w:val="bottom"/>
            <w:hideMark/>
          </w:tcPr>
          <w:p w14:paraId="5211C255" w14:textId="2DCEB52E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26.987,59</w:t>
            </w:r>
          </w:p>
        </w:tc>
        <w:tc>
          <w:tcPr>
            <w:tcW w:w="1560" w:type="dxa"/>
            <w:noWrap/>
            <w:vAlign w:val="bottom"/>
            <w:hideMark/>
          </w:tcPr>
          <w:p w14:paraId="0E5921BB" w14:textId="6E097A61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C6FB729" w14:textId="7CA8BED1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34D26A86" w14:textId="41AB234F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28.970,11</w:t>
            </w:r>
          </w:p>
        </w:tc>
        <w:tc>
          <w:tcPr>
            <w:tcW w:w="1147" w:type="dxa"/>
            <w:noWrap/>
            <w:vAlign w:val="bottom"/>
            <w:hideMark/>
          </w:tcPr>
          <w:p w14:paraId="074D6D3A" w14:textId="22AE27F6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107,35%</w:t>
            </w:r>
          </w:p>
        </w:tc>
        <w:tc>
          <w:tcPr>
            <w:tcW w:w="1147" w:type="dxa"/>
            <w:noWrap/>
            <w:vAlign w:val="bottom"/>
            <w:hideMark/>
          </w:tcPr>
          <w:p w14:paraId="4063F5AE" w14:textId="0E3FD3D3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2597B2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3198D46" w14:textId="49B9DE7B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3223 Energija</w:t>
            </w:r>
          </w:p>
        </w:tc>
        <w:tc>
          <w:tcPr>
            <w:tcW w:w="1565" w:type="dxa"/>
            <w:noWrap/>
            <w:vAlign w:val="bottom"/>
            <w:hideMark/>
          </w:tcPr>
          <w:p w14:paraId="664DAA0B" w14:textId="56FDC81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45.450,30</w:t>
            </w:r>
          </w:p>
        </w:tc>
        <w:tc>
          <w:tcPr>
            <w:tcW w:w="1560" w:type="dxa"/>
            <w:noWrap/>
            <w:vAlign w:val="bottom"/>
            <w:hideMark/>
          </w:tcPr>
          <w:p w14:paraId="4C814C40" w14:textId="60F31E1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7570E71" w14:textId="69D6F1A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1D1BAB4" w14:textId="1821B6C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51.581,89</w:t>
            </w:r>
          </w:p>
        </w:tc>
        <w:tc>
          <w:tcPr>
            <w:tcW w:w="1147" w:type="dxa"/>
            <w:noWrap/>
            <w:vAlign w:val="bottom"/>
            <w:hideMark/>
          </w:tcPr>
          <w:p w14:paraId="65F440F6" w14:textId="6CEAE34D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113,49%</w:t>
            </w:r>
          </w:p>
        </w:tc>
        <w:tc>
          <w:tcPr>
            <w:tcW w:w="1147" w:type="dxa"/>
            <w:noWrap/>
            <w:vAlign w:val="bottom"/>
            <w:hideMark/>
          </w:tcPr>
          <w:p w14:paraId="666D18B3" w14:textId="0A1EE741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EF55A4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DD523E9" w14:textId="627573E8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565" w:type="dxa"/>
            <w:noWrap/>
            <w:vAlign w:val="bottom"/>
            <w:hideMark/>
          </w:tcPr>
          <w:p w14:paraId="34CF7EB5" w14:textId="5F2699F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28.159,33</w:t>
            </w:r>
          </w:p>
        </w:tc>
        <w:tc>
          <w:tcPr>
            <w:tcW w:w="1560" w:type="dxa"/>
            <w:noWrap/>
            <w:vAlign w:val="bottom"/>
            <w:hideMark/>
          </w:tcPr>
          <w:p w14:paraId="173CC72A" w14:textId="66ED816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1B14ED5" w14:textId="408A431B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A29FA2C" w14:textId="2DAE909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23.161,13</w:t>
            </w:r>
          </w:p>
        </w:tc>
        <w:tc>
          <w:tcPr>
            <w:tcW w:w="1147" w:type="dxa"/>
            <w:noWrap/>
            <w:vAlign w:val="bottom"/>
            <w:hideMark/>
          </w:tcPr>
          <w:p w14:paraId="176F5E0D" w14:textId="77A5FDA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82,25%</w:t>
            </w:r>
          </w:p>
        </w:tc>
        <w:tc>
          <w:tcPr>
            <w:tcW w:w="1147" w:type="dxa"/>
            <w:noWrap/>
            <w:vAlign w:val="bottom"/>
            <w:hideMark/>
          </w:tcPr>
          <w:p w14:paraId="2677DA10" w14:textId="36007716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C75258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5950DB2" w14:textId="5CA99E15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3225 Sitni inventar i autogume</w:t>
            </w:r>
          </w:p>
        </w:tc>
        <w:tc>
          <w:tcPr>
            <w:tcW w:w="1565" w:type="dxa"/>
            <w:noWrap/>
            <w:vAlign w:val="bottom"/>
            <w:hideMark/>
          </w:tcPr>
          <w:p w14:paraId="423B061C" w14:textId="317B062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14.746,53</w:t>
            </w:r>
          </w:p>
        </w:tc>
        <w:tc>
          <w:tcPr>
            <w:tcW w:w="1560" w:type="dxa"/>
            <w:noWrap/>
            <w:vAlign w:val="bottom"/>
            <w:hideMark/>
          </w:tcPr>
          <w:p w14:paraId="6D662C99" w14:textId="57A754A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3C9CDEA" w14:textId="4966EEF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FED45DF" w14:textId="76A5727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38.214,64</w:t>
            </w:r>
          </w:p>
        </w:tc>
        <w:tc>
          <w:tcPr>
            <w:tcW w:w="1147" w:type="dxa"/>
            <w:noWrap/>
            <w:vAlign w:val="bottom"/>
            <w:hideMark/>
          </w:tcPr>
          <w:p w14:paraId="7C9E813B" w14:textId="08A5B0F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259,14%</w:t>
            </w:r>
          </w:p>
        </w:tc>
        <w:tc>
          <w:tcPr>
            <w:tcW w:w="1147" w:type="dxa"/>
            <w:noWrap/>
            <w:vAlign w:val="bottom"/>
            <w:hideMark/>
          </w:tcPr>
          <w:p w14:paraId="67D0B323" w14:textId="57824905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DB93C8F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52E51E9" w14:textId="52A905E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565" w:type="dxa"/>
            <w:noWrap/>
            <w:vAlign w:val="bottom"/>
            <w:hideMark/>
          </w:tcPr>
          <w:p w14:paraId="1D09409F" w14:textId="10A3A52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1.259,66</w:t>
            </w:r>
          </w:p>
        </w:tc>
        <w:tc>
          <w:tcPr>
            <w:tcW w:w="1560" w:type="dxa"/>
            <w:noWrap/>
            <w:vAlign w:val="bottom"/>
            <w:hideMark/>
          </w:tcPr>
          <w:p w14:paraId="0700D999" w14:textId="710327A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6A88126" w14:textId="2115EA4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496F5BFB" w14:textId="60C92B6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50288978" w14:textId="4DF96FF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3E2E9FE7" w14:textId="754925DA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ED6ADAD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654F30B" w14:textId="72C0533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323 Rashodi za usluge</w:t>
            </w:r>
          </w:p>
        </w:tc>
        <w:tc>
          <w:tcPr>
            <w:tcW w:w="1565" w:type="dxa"/>
            <w:noWrap/>
            <w:vAlign w:val="bottom"/>
            <w:hideMark/>
          </w:tcPr>
          <w:p w14:paraId="63FCD691" w14:textId="194DD02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909.120,64</w:t>
            </w:r>
          </w:p>
        </w:tc>
        <w:tc>
          <w:tcPr>
            <w:tcW w:w="1560" w:type="dxa"/>
            <w:noWrap/>
            <w:vAlign w:val="bottom"/>
            <w:hideMark/>
          </w:tcPr>
          <w:p w14:paraId="75C07641" w14:textId="4DDFBB9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1.038.542,39</w:t>
            </w:r>
          </w:p>
        </w:tc>
        <w:tc>
          <w:tcPr>
            <w:tcW w:w="1559" w:type="dxa"/>
            <w:noWrap/>
            <w:vAlign w:val="bottom"/>
            <w:hideMark/>
          </w:tcPr>
          <w:p w14:paraId="738585EF" w14:textId="6F41920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1.073.848,74</w:t>
            </w:r>
          </w:p>
        </w:tc>
        <w:tc>
          <w:tcPr>
            <w:tcW w:w="1499" w:type="dxa"/>
            <w:noWrap/>
            <w:vAlign w:val="bottom"/>
            <w:hideMark/>
          </w:tcPr>
          <w:p w14:paraId="6470186F" w14:textId="4E4A7B1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1.057.621,46</w:t>
            </w:r>
          </w:p>
        </w:tc>
        <w:tc>
          <w:tcPr>
            <w:tcW w:w="1147" w:type="dxa"/>
            <w:noWrap/>
            <w:vAlign w:val="bottom"/>
            <w:hideMark/>
          </w:tcPr>
          <w:p w14:paraId="3B6648D8" w14:textId="21199A05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116,33%</w:t>
            </w:r>
          </w:p>
        </w:tc>
        <w:tc>
          <w:tcPr>
            <w:tcW w:w="1147" w:type="dxa"/>
            <w:noWrap/>
            <w:vAlign w:val="bottom"/>
            <w:hideMark/>
          </w:tcPr>
          <w:p w14:paraId="5E055D3C" w14:textId="3BACF3D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98,49%</w:t>
            </w:r>
          </w:p>
        </w:tc>
      </w:tr>
      <w:tr w:rsidR="00E22C2A" w:rsidRPr="00A27368" w14:paraId="0CA3125F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CD18862" w14:textId="61DA831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3231 Usluge telefona, interneta, pošte i prijevoza</w:t>
            </w:r>
          </w:p>
        </w:tc>
        <w:tc>
          <w:tcPr>
            <w:tcW w:w="1565" w:type="dxa"/>
            <w:noWrap/>
            <w:vAlign w:val="bottom"/>
            <w:hideMark/>
          </w:tcPr>
          <w:p w14:paraId="6D69FCD4" w14:textId="2F9DFE7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21.093,30</w:t>
            </w:r>
          </w:p>
        </w:tc>
        <w:tc>
          <w:tcPr>
            <w:tcW w:w="1560" w:type="dxa"/>
            <w:noWrap/>
            <w:vAlign w:val="bottom"/>
            <w:hideMark/>
          </w:tcPr>
          <w:p w14:paraId="16153A11" w14:textId="5B387C6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7616B21" w14:textId="2108DBA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F57995E" w14:textId="6FEEE32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17.615,51</w:t>
            </w:r>
          </w:p>
        </w:tc>
        <w:tc>
          <w:tcPr>
            <w:tcW w:w="1147" w:type="dxa"/>
            <w:noWrap/>
            <w:vAlign w:val="bottom"/>
            <w:hideMark/>
          </w:tcPr>
          <w:p w14:paraId="5EA396D2" w14:textId="4DD0CF8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83,51%</w:t>
            </w:r>
          </w:p>
        </w:tc>
        <w:tc>
          <w:tcPr>
            <w:tcW w:w="1147" w:type="dxa"/>
            <w:noWrap/>
            <w:vAlign w:val="bottom"/>
            <w:hideMark/>
          </w:tcPr>
          <w:p w14:paraId="44DDD0E1" w14:textId="5EB5E19A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BC1898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70476B0" w14:textId="54303A90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3232 Usluge tekućeg i investicijskog  održavanja</w:t>
            </w:r>
          </w:p>
        </w:tc>
        <w:tc>
          <w:tcPr>
            <w:tcW w:w="1565" w:type="dxa"/>
            <w:noWrap/>
            <w:vAlign w:val="bottom"/>
            <w:hideMark/>
          </w:tcPr>
          <w:p w14:paraId="314A3646" w14:textId="0FB4A88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404.402,99</w:t>
            </w:r>
          </w:p>
        </w:tc>
        <w:tc>
          <w:tcPr>
            <w:tcW w:w="1560" w:type="dxa"/>
            <w:noWrap/>
            <w:vAlign w:val="bottom"/>
            <w:hideMark/>
          </w:tcPr>
          <w:p w14:paraId="0710EA55" w14:textId="20B2323D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EFA7C9F" w14:textId="6F3E16E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A8BAD03" w14:textId="3273A5F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529.400,79</w:t>
            </w:r>
          </w:p>
        </w:tc>
        <w:tc>
          <w:tcPr>
            <w:tcW w:w="1147" w:type="dxa"/>
            <w:noWrap/>
            <w:vAlign w:val="bottom"/>
            <w:hideMark/>
          </w:tcPr>
          <w:p w14:paraId="3B793058" w14:textId="6977FA5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130,91%</w:t>
            </w:r>
          </w:p>
        </w:tc>
        <w:tc>
          <w:tcPr>
            <w:tcW w:w="1147" w:type="dxa"/>
            <w:noWrap/>
            <w:vAlign w:val="bottom"/>
            <w:hideMark/>
          </w:tcPr>
          <w:p w14:paraId="33407B28" w14:textId="3ACC06BE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08BD70D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AC6756F" w14:textId="5F37F8C0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3233 Usluge promidžbe i informiranja</w:t>
            </w:r>
          </w:p>
        </w:tc>
        <w:tc>
          <w:tcPr>
            <w:tcW w:w="1565" w:type="dxa"/>
            <w:noWrap/>
            <w:vAlign w:val="bottom"/>
            <w:hideMark/>
          </w:tcPr>
          <w:p w14:paraId="0A93F84C" w14:textId="45951A2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95.544,03</w:t>
            </w:r>
          </w:p>
        </w:tc>
        <w:tc>
          <w:tcPr>
            <w:tcW w:w="1560" w:type="dxa"/>
            <w:noWrap/>
            <w:vAlign w:val="bottom"/>
            <w:hideMark/>
          </w:tcPr>
          <w:p w14:paraId="69A92E55" w14:textId="0418390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A6371F6" w14:textId="3050D36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417A03D" w14:textId="55B14D0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77.188,97</w:t>
            </w:r>
          </w:p>
        </w:tc>
        <w:tc>
          <w:tcPr>
            <w:tcW w:w="1147" w:type="dxa"/>
            <w:noWrap/>
            <w:vAlign w:val="bottom"/>
            <w:hideMark/>
          </w:tcPr>
          <w:p w14:paraId="496B3500" w14:textId="2BDCDFB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80,79%</w:t>
            </w:r>
          </w:p>
        </w:tc>
        <w:tc>
          <w:tcPr>
            <w:tcW w:w="1147" w:type="dxa"/>
            <w:noWrap/>
            <w:vAlign w:val="bottom"/>
            <w:hideMark/>
          </w:tcPr>
          <w:p w14:paraId="30DD301F" w14:textId="537F44BF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157EEA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FC5D3A1" w14:textId="654D6CE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3234 Komunalne usluge</w:t>
            </w:r>
          </w:p>
        </w:tc>
        <w:tc>
          <w:tcPr>
            <w:tcW w:w="1565" w:type="dxa"/>
            <w:noWrap/>
            <w:vAlign w:val="bottom"/>
            <w:hideMark/>
          </w:tcPr>
          <w:p w14:paraId="6354B362" w14:textId="70ABD72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131.901,81</w:t>
            </w:r>
          </w:p>
        </w:tc>
        <w:tc>
          <w:tcPr>
            <w:tcW w:w="1560" w:type="dxa"/>
            <w:noWrap/>
            <w:vAlign w:val="bottom"/>
            <w:hideMark/>
          </w:tcPr>
          <w:p w14:paraId="4372A605" w14:textId="0B691CA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057EB7B" w14:textId="5A7C07E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7F1831B" w14:textId="629AB93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123.793,89</w:t>
            </w:r>
          </w:p>
        </w:tc>
        <w:tc>
          <w:tcPr>
            <w:tcW w:w="1147" w:type="dxa"/>
            <w:noWrap/>
            <w:vAlign w:val="bottom"/>
            <w:hideMark/>
          </w:tcPr>
          <w:p w14:paraId="373F9034" w14:textId="4485D57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93,85%</w:t>
            </w:r>
          </w:p>
        </w:tc>
        <w:tc>
          <w:tcPr>
            <w:tcW w:w="1147" w:type="dxa"/>
            <w:noWrap/>
            <w:vAlign w:val="bottom"/>
            <w:hideMark/>
          </w:tcPr>
          <w:p w14:paraId="1C8BFC3A" w14:textId="5D5B04C1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529C06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56C1FC3" w14:textId="2916FF85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3235 Zakupnine i najamnine</w:t>
            </w:r>
          </w:p>
        </w:tc>
        <w:tc>
          <w:tcPr>
            <w:tcW w:w="1565" w:type="dxa"/>
            <w:noWrap/>
            <w:vAlign w:val="bottom"/>
            <w:hideMark/>
          </w:tcPr>
          <w:p w14:paraId="000B6F89" w14:textId="4D84A2A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87.235,38</w:t>
            </w:r>
          </w:p>
        </w:tc>
        <w:tc>
          <w:tcPr>
            <w:tcW w:w="1560" w:type="dxa"/>
            <w:noWrap/>
            <w:vAlign w:val="bottom"/>
            <w:hideMark/>
          </w:tcPr>
          <w:p w14:paraId="51C27944" w14:textId="746196CB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CB2FCC6" w14:textId="5EE2E2A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997FB96" w14:textId="5F5B440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60.957,52</w:t>
            </w:r>
          </w:p>
        </w:tc>
        <w:tc>
          <w:tcPr>
            <w:tcW w:w="1147" w:type="dxa"/>
            <w:noWrap/>
            <w:vAlign w:val="bottom"/>
            <w:hideMark/>
          </w:tcPr>
          <w:p w14:paraId="069BAA86" w14:textId="673D18B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69,88%</w:t>
            </w:r>
          </w:p>
        </w:tc>
        <w:tc>
          <w:tcPr>
            <w:tcW w:w="1147" w:type="dxa"/>
            <w:noWrap/>
            <w:vAlign w:val="bottom"/>
            <w:hideMark/>
          </w:tcPr>
          <w:p w14:paraId="1CE981EA" w14:textId="2DE953C9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AD9D422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DC80E4E" w14:textId="1278561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3236 Zdravstvene i veterinarske usluge</w:t>
            </w:r>
          </w:p>
        </w:tc>
        <w:tc>
          <w:tcPr>
            <w:tcW w:w="1565" w:type="dxa"/>
            <w:noWrap/>
            <w:vAlign w:val="bottom"/>
            <w:hideMark/>
          </w:tcPr>
          <w:p w14:paraId="2ED9B814" w14:textId="76F809A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1.890,30</w:t>
            </w:r>
          </w:p>
        </w:tc>
        <w:tc>
          <w:tcPr>
            <w:tcW w:w="1560" w:type="dxa"/>
            <w:noWrap/>
            <w:vAlign w:val="bottom"/>
            <w:hideMark/>
          </w:tcPr>
          <w:p w14:paraId="7177A6E9" w14:textId="249831C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64B3C12" w14:textId="7DB96EF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F4C4917" w14:textId="320C871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1.237,80</w:t>
            </w:r>
          </w:p>
        </w:tc>
        <w:tc>
          <w:tcPr>
            <w:tcW w:w="1147" w:type="dxa"/>
            <w:noWrap/>
            <w:vAlign w:val="bottom"/>
            <w:hideMark/>
          </w:tcPr>
          <w:p w14:paraId="0C9CED4C" w14:textId="166E769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65,48%</w:t>
            </w:r>
          </w:p>
        </w:tc>
        <w:tc>
          <w:tcPr>
            <w:tcW w:w="1147" w:type="dxa"/>
            <w:noWrap/>
            <w:vAlign w:val="bottom"/>
            <w:hideMark/>
          </w:tcPr>
          <w:p w14:paraId="7B482C56" w14:textId="26C75E36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36EEFA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1ABDD9E" w14:textId="4FEAD225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3237 Intelektualne i osobne usluge</w:t>
            </w:r>
          </w:p>
        </w:tc>
        <w:tc>
          <w:tcPr>
            <w:tcW w:w="1565" w:type="dxa"/>
            <w:noWrap/>
            <w:vAlign w:val="bottom"/>
            <w:hideMark/>
          </w:tcPr>
          <w:p w14:paraId="2961B1E5" w14:textId="7E8CB13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63.129,81</w:t>
            </w:r>
          </w:p>
        </w:tc>
        <w:tc>
          <w:tcPr>
            <w:tcW w:w="1560" w:type="dxa"/>
            <w:noWrap/>
            <w:vAlign w:val="bottom"/>
            <w:hideMark/>
          </w:tcPr>
          <w:p w14:paraId="23F25A36" w14:textId="7677EB7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37B900D" w14:textId="7191158F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65212AC" w14:textId="050E200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132.242,33</w:t>
            </w:r>
          </w:p>
        </w:tc>
        <w:tc>
          <w:tcPr>
            <w:tcW w:w="1147" w:type="dxa"/>
            <w:noWrap/>
            <w:vAlign w:val="bottom"/>
            <w:hideMark/>
          </w:tcPr>
          <w:p w14:paraId="25A3230F" w14:textId="3810E46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209,48%</w:t>
            </w:r>
          </w:p>
        </w:tc>
        <w:tc>
          <w:tcPr>
            <w:tcW w:w="1147" w:type="dxa"/>
            <w:noWrap/>
            <w:vAlign w:val="bottom"/>
            <w:hideMark/>
          </w:tcPr>
          <w:p w14:paraId="7E84B05E" w14:textId="7B167DE2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98FB64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1EC838E" w14:textId="6EC8725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3238 Računalne usluge</w:t>
            </w:r>
          </w:p>
        </w:tc>
        <w:tc>
          <w:tcPr>
            <w:tcW w:w="1565" w:type="dxa"/>
            <w:noWrap/>
            <w:vAlign w:val="bottom"/>
            <w:hideMark/>
          </w:tcPr>
          <w:p w14:paraId="397FA6AB" w14:textId="4021BFC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26.546,75</w:t>
            </w:r>
          </w:p>
        </w:tc>
        <w:tc>
          <w:tcPr>
            <w:tcW w:w="1560" w:type="dxa"/>
            <w:noWrap/>
            <w:vAlign w:val="bottom"/>
            <w:hideMark/>
          </w:tcPr>
          <w:p w14:paraId="7129BDEB" w14:textId="69C6AD0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967CB5E" w14:textId="05E9A65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4DF1BDAC" w14:textId="1EB2FDD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37.648,15</w:t>
            </w:r>
          </w:p>
        </w:tc>
        <w:tc>
          <w:tcPr>
            <w:tcW w:w="1147" w:type="dxa"/>
            <w:noWrap/>
            <w:vAlign w:val="bottom"/>
            <w:hideMark/>
          </w:tcPr>
          <w:p w14:paraId="4E06583C" w14:textId="31FCB2D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141,82%</w:t>
            </w:r>
          </w:p>
        </w:tc>
        <w:tc>
          <w:tcPr>
            <w:tcW w:w="1147" w:type="dxa"/>
            <w:noWrap/>
            <w:vAlign w:val="bottom"/>
            <w:hideMark/>
          </w:tcPr>
          <w:p w14:paraId="6473CD16" w14:textId="46650246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2C0916D8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950DA93" w14:textId="3D6FCAD2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3239 Ostale usluge</w:t>
            </w:r>
          </w:p>
        </w:tc>
        <w:tc>
          <w:tcPr>
            <w:tcW w:w="1565" w:type="dxa"/>
            <w:noWrap/>
            <w:vAlign w:val="bottom"/>
            <w:hideMark/>
          </w:tcPr>
          <w:p w14:paraId="1DDDFAE4" w14:textId="065C68E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77.376,27</w:t>
            </w:r>
          </w:p>
        </w:tc>
        <w:tc>
          <w:tcPr>
            <w:tcW w:w="1560" w:type="dxa"/>
            <w:noWrap/>
            <w:vAlign w:val="bottom"/>
            <w:hideMark/>
          </w:tcPr>
          <w:p w14:paraId="67EECD39" w14:textId="223109E3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F440016" w14:textId="4E55042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EC439E9" w14:textId="5C83C89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77.536,50</w:t>
            </w:r>
          </w:p>
        </w:tc>
        <w:tc>
          <w:tcPr>
            <w:tcW w:w="1147" w:type="dxa"/>
            <w:noWrap/>
            <w:vAlign w:val="bottom"/>
            <w:hideMark/>
          </w:tcPr>
          <w:p w14:paraId="48EE8B64" w14:textId="706C89DF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100,21%</w:t>
            </w:r>
          </w:p>
        </w:tc>
        <w:tc>
          <w:tcPr>
            <w:tcW w:w="1147" w:type="dxa"/>
            <w:noWrap/>
            <w:vAlign w:val="bottom"/>
            <w:hideMark/>
          </w:tcPr>
          <w:p w14:paraId="02665CF7" w14:textId="0EF23324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2C54367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3BE2F44" w14:textId="385DE489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324 Naknade troškova osobama izvan radnog odnosa</w:t>
            </w:r>
          </w:p>
        </w:tc>
        <w:tc>
          <w:tcPr>
            <w:tcW w:w="1565" w:type="dxa"/>
            <w:noWrap/>
            <w:vAlign w:val="bottom"/>
            <w:hideMark/>
          </w:tcPr>
          <w:p w14:paraId="62282987" w14:textId="18F2FC2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7.060,94</w:t>
            </w:r>
          </w:p>
        </w:tc>
        <w:tc>
          <w:tcPr>
            <w:tcW w:w="1560" w:type="dxa"/>
            <w:noWrap/>
            <w:vAlign w:val="bottom"/>
            <w:hideMark/>
          </w:tcPr>
          <w:p w14:paraId="39CE1A8D" w14:textId="3CBFAFCB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2DD6C63" w14:textId="20C7D9D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393F1A5" w14:textId="2DFDA1F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0DAA456C" w14:textId="5EFCF9F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58360B16" w14:textId="2A0EC882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45D98DF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5B952A9" w14:textId="67E63B69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565" w:type="dxa"/>
            <w:noWrap/>
            <w:vAlign w:val="bottom"/>
            <w:hideMark/>
          </w:tcPr>
          <w:p w14:paraId="21A4ED6C" w14:textId="456AA4B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7.060,94</w:t>
            </w:r>
          </w:p>
        </w:tc>
        <w:tc>
          <w:tcPr>
            <w:tcW w:w="1560" w:type="dxa"/>
            <w:noWrap/>
            <w:vAlign w:val="bottom"/>
            <w:hideMark/>
          </w:tcPr>
          <w:p w14:paraId="4F34FB69" w14:textId="273CFCE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E9DC74F" w14:textId="69BF2B9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45F3E536" w14:textId="65F9365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38AD1558" w14:textId="2D548A4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6318AACE" w14:textId="1F48FE63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FB9A3C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5BE7C66" w14:textId="0571585E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329 Ostali nespomenuti rashodi poslovanja</w:t>
            </w:r>
          </w:p>
        </w:tc>
        <w:tc>
          <w:tcPr>
            <w:tcW w:w="1565" w:type="dxa"/>
            <w:noWrap/>
            <w:vAlign w:val="bottom"/>
            <w:hideMark/>
          </w:tcPr>
          <w:p w14:paraId="07B749A6" w14:textId="07D75DE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102.379,03</w:t>
            </w:r>
          </w:p>
        </w:tc>
        <w:tc>
          <w:tcPr>
            <w:tcW w:w="1560" w:type="dxa"/>
            <w:noWrap/>
            <w:vAlign w:val="bottom"/>
            <w:hideMark/>
          </w:tcPr>
          <w:p w14:paraId="1D910AB2" w14:textId="6C71F2A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97.388,71</w:t>
            </w:r>
          </w:p>
        </w:tc>
        <w:tc>
          <w:tcPr>
            <w:tcW w:w="1559" w:type="dxa"/>
            <w:noWrap/>
            <w:vAlign w:val="bottom"/>
            <w:hideMark/>
          </w:tcPr>
          <w:p w14:paraId="60541AA4" w14:textId="0A71FC5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116.559,52</w:t>
            </w:r>
          </w:p>
        </w:tc>
        <w:tc>
          <w:tcPr>
            <w:tcW w:w="1499" w:type="dxa"/>
            <w:noWrap/>
            <w:vAlign w:val="bottom"/>
            <w:hideMark/>
          </w:tcPr>
          <w:p w14:paraId="158EE677" w14:textId="147B0F2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112.824,06</w:t>
            </w:r>
          </w:p>
        </w:tc>
        <w:tc>
          <w:tcPr>
            <w:tcW w:w="1147" w:type="dxa"/>
            <w:noWrap/>
            <w:vAlign w:val="bottom"/>
            <w:hideMark/>
          </w:tcPr>
          <w:p w14:paraId="262C1163" w14:textId="5FE2C895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110,20%</w:t>
            </w:r>
          </w:p>
        </w:tc>
        <w:tc>
          <w:tcPr>
            <w:tcW w:w="1147" w:type="dxa"/>
            <w:noWrap/>
            <w:vAlign w:val="bottom"/>
            <w:hideMark/>
          </w:tcPr>
          <w:p w14:paraId="03A3D89D" w14:textId="21BF95D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96,80%</w:t>
            </w:r>
          </w:p>
        </w:tc>
      </w:tr>
      <w:tr w:rsidR="00E22C2A" w:rsidRPr="00A27368" w14:paraId="5D80BAA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FCBD6BD" w14:textId="4486767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565" w:type="dxa"/>
            <w:noWrap/>
            <w:vAlign w:val="bottom"/>
            <w:hideMark/>
          </w:tcPr>
          <w:p w14:paraId="59F9F044" w14:textId="3121D67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40.188,75</w:t>
            </w:r>
          </w:p>
        </w:tc>
        <w:tc>
          <w:tcPr>
            <w:tcW w:w="1560" w:type="dxa"/>
            <w:noWrap/>
            <w:vAlign w:val="bottom"/>
            <w:hideMark/>
          </w:tcPr>
          <w:p w14:paraId="64835836" w14:textId="7A2C5C0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DDC04F5" w14:textId="12D3747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CB6EFB7" w14:textId="01DC89D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73.559,14</w:t>
            </w:r>
          </w:p>
        </w:tc>
        <w:tc>
          <w:tcPr>
            <w:tcW w:w="1147" w:type="dxa"/>
            <w:noWrap/>
            <w:vAlign w:val="bottom"/>
            <w:hideMark/>
          </w:tcPr>
          <w:p w14:paraId="3117089D" w14:textId="00B7680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183,03%</w:t>
            </w:r>
          </w:p>
        </w:tc>
        <w:tc>
          <w:tcPr>
            <w:tcW w:w="1147" w:type="dxa"/>
            <w:noWrap/>
            <w:vAlign w:val="bottom"/>
            <w:hideMark/>
          </w:tcPr>
          <w:p w14:paraId="5BB22D4D" w14:textId="171DE1E5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6D1AFB1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E84ECFC" w14:textId="0E604075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3292 Premije osiguranja</w:t>
            </w:r>
          </w:p>
        </w:tc>
        <w:tc>
          <w:tcPr>
            <w:tcW w:w="1565" w:type="dxa"/>
            <w:noWrap/>
            <w:vAlign w:val="bottom"/>
            <w:hideMark/>
          </w:tcPr>
          <w:p w14:paraId="3C845D5C" w14:textId="0DCFFAA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14.291,32</w:t>
            </w:r>
          </w:p>
        </w:tc>
        <w:tc>
          <w:tcPr>
            <w:tcW w:w="1560" w:type="dxa"/>
            <w:noWrap/>
            <w:vAlign w:val="bottom"/>
            <w:hideMark/>
          </w:tcPr>
          <w:p w14:paraId="3CFE55C8" w14:textId="7ED0B63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42DBED0" w14:textId="27EAF6A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9FDED47" w14:textId="740D26E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11.531,86</w:t>
            </w:r>
          </w:p>
        </w:tc>
        <w:tc>
          <w:tcPr>
            <w:tcW w:w="1147" w:type="dxa"/>
            <w:noWrap/>
            <w:vAlign w:val="bottom"/>
            <w:hideMark/>
          </w:tcPr>
          <w:p w14:paraId="4D84B414" w14:textId="59A348E5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80,69%</w:t>
            </w:r>
          </w:p>
        </w:tc>
        <w:tc>
          <w:tcPr>
            <w:tcW w:w="1147" w:type="dxa"/>
            <w:noWrap/>
            <w:vAlign w:val="bottom"/>
            <w:hideMark/>
          </w:tcPr>
          <w:p w14:paraId="76FD43B2" w14:textId="683061F0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03896B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F1FDC9A" w14:textId="24C6F666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3293 Reprezentacija</w:t>
            </w:r>
          </w:p>
        </w:tc>
        <w:tc>
          <w:tcPr>
            <w:tcW w:w="1565" w:type="dxa"/>
            <w:noWrap/>
            <w:vAlign w:val="bottom"/>
            <w:hideMark/>
          </w:tcPr>
          <w:p w14:paraId="445ED6CA" w14:textId="6D37BAA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24.169,93</w:t>
            </w:r>
          </w:p>
        </w:tc>
        <w:tc>
          <w:tcPr>
            <w:tcW w:w="1560" w:type="dxa"/>
            <w:noWrap/>
            <w:vAlign w:val="bottom"/>
            <w:hideMark/>
          </w:tcPr>
          <w:p w14:paraId="0562CADE" w14:textId="0E00B5F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A0D6510" w14:textId="4C50C29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2EEAFC6B" w14:textId="755B688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9.722,88</w:t>
            </w:r>
          </w:p>
        </w:tc>
        <w:tc>
          <w:tcPr>
            <w:tcW w:w="1147" w:type="dxa"/>
            <w:noWrap/>
            <w:vAlign w:val="bottom"/>
            <w:hideMark/>
          </w:tcPr>
          <w:p w14:paraId="07E2540A" w14:textId="0C5D7E86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40,23%</w:t>
            </w:r>
          </w:p>
        </w:tc>
        <w:tc>
          <w:tcPr>
            <w:tcW w:w="1147" w:type="dxa"/>
            <w:noWrap/>
            <w:vAlign w:val="bottom"/>
            <w:hideMark/>
          </w:tcPr>
          <w:p w14:paraId="10BEBBD5" w14:textId="79CBA4DB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682827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5FA0CF9" w14:textId="1BCA073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3294 Članarine i norme</w:t>
            </w:r>
          </w:p>
        </w:tc>
        <w:tc>
          <w:tcPr>
            <w:tcW w:w="1565" w:type="dxa"/>
            <w:noWrap/>
            <w:vAlign w:val="bottom"/>
            <w:hideMark/>
          </w:tcPr>
          <w:p w14:paraId="34D06BEC" w14:textId="555AC80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2.231,24</w:t>
            </w:r>
          </w:p>
        </w:tc>
        <w:tc>
          <w:tcPr>
            <w:tcW w:w="1560" w:type="dxa"/>
            <w:noWrap/>
            <w:vAlign w:val="bottom"/>
            <w:hideMark/>
          </w:tcPr>
          <w:p w14:paraId="3AC91F2C" w14:textId="16B970E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50BDB041" w14:textId="632CB05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81F7C37" w14:textId="5BF1A87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2.065,24</w:t>
            </w:r>
          </w:p>
        </w:tc>
        <w:tc>
          <w:tcPr>
            <w:tcW w:w="1147" w:type="dxa"/>
            <w:noWrap/>
            <w:vAlign w:val="bottom"/>
            <w:hideMark/>
          </w:tcPr>
          <w:p w14:paraId="0AED1237" w14:textId="06F3CFE8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92,56%</w:t>
            </w:r>
          </w:p>
        </w:tc>
        <w:tc>
          <w:tcPr>
            <w:tcW w:w="1147" w:type="dxa"/>
            <w:noWrap/>
            <w:vAlign w:val="bottom"/>
            <w:hideMark/>
          </w:tcPr>
          <w:p w14:paraId="43E07F5A" w14:textId="527BA2BD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E1574E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7D35F0E" w14:textId="7F4E96E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3295 Pristojbe i naknade</w:t>
            </w:r>
          </w:p>
        </w:tc>
        <w:tc>
          <w:tcPr>
            <w:tcW w:w="1565" w:type="dxa"/>
            <w:noWrap/>
            <w:vAlign w:val="bottom"/>
            <w:hideMark/>
          </w:tcPr>
          <w:p w14:paraId="72F2576D" w14:textId="5D0A806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15.786,11</w:t>
            </w:r>
          </w:p>
        </w:tc>
        <w:tc>
          <w:tcPr>
            <w:tcW w:w="1560" w:type="dxa"/>
            <w:noWrap/>
            <w:vAlign w:val="bottom"/>
            <w:hideMark/>
          </w:tcPr>
          <w:p w14:paraId="5610EB67" w14:textId="76ED3F4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223C387" w14:textId="06A10EF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1110E94" w14:textId="69F3091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14.306,19</w:t>
            </w:r>
          </w:p>
        </w:tc>
        <w:tc>
          <w:tcPr>
            <w:tcW w:w="1147" w:type="dxa"/>
            <w:noWrap/>
            <w:vAlign w:val="bottom"/>
            <w:hideMark/>
          </w:tcPr>
          <w:p w14:paraId="5668F2E5" w14:textId="57ACB0F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90,63%</w:t>
            </w:r>
          </w:p>
        </w:tc>
        <w:tc>
          <w:tcPr>
            <w:tcW w:w="1147" w:type="dxa"/>
            <w:noWrap/>
            <w:vAlign w:val="bottom"/>
            <w:hideMark/>
          </w:tcPr>
          <w:p w14:paraId="133B1EB3" w14:textId="170D5A55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5F4A5D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832540C" w14:textId="575592A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1565" w:type="dxa"/>
            <w:noWrap/>
            <w:vAlign w:val="bottom"/>
            <w:hideMark/>
          </w:tcPr>
          <w:p w14:paraId="3DCF4EEA" w14:textId="08E877A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5.711,68</w:t>
            </w:r>
          </w:p>
        </w:tc>
        <w:tc>
          <w:tcPr>
            <w:tcW w:w="1560" w:type="dxa"/>
            <w:noWrap/>
            <w:vAlign w:val="bottom"/>
            <w:hideMark/>
          </w:tcPr>
          <w:p w14:paraId="551338E7" w14:textId="5943DB3F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5D7AE436" w14:textId="1B3EF0F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4E91D3D8" w14:textId="3DF60C0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1.638,75</w:t>
            </w:r>
          </w:p>
        </w:tc>
        <w:tc>
          <w:tcPr>
            <w:tcW w:w="1147" w:type="dxa"/>
            <w:noWrap/>
            <w:vAlign w:val="bottom"/>
            <w:hideMark/>
          </w:tcPr>
          <w:p w14:paraId="4B78D258" w14:textId="3342B1F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28,69%</w:t>
            </w:r>
          </w:p>
        </w:tc>
        <w:tc>
          <w:tcPr>
            <w:tcW w:w="1147" w:type="dxa"/>
            <w:noWrap/>
            <w:vAlign w:val="bottom"/>
            <w:hideMark/>
          </w:tcPr>
          <w:p w14:paraId="752A61BE" w14:textId="20B12333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A7B593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58A1D11" w14:textId="0743D5D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565" w:type="dxa"/>
            <w:noWrap/>
            <w:vAlign w:val="bottom"/>
            <w:hideMark/>
          </w:tcPr>
          <w:p w14:paraId="5E89DC6E" w14:textId="506EE7B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40.993,72</w:t>
            </w:r>
          </w:p>
        </w:tc>
        <w:tc>
          <w:tcPr>
            <w:tcW w:w="1560" w:type="dxa"/>
            <w:noWrap/>
            <w:vAlign w:val="bottom"/>
            <w:hideMark/>
          </w:tcPr>
          <w:p w14:paraId="69DA5E32" w14:textId="66B3EE0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437.664,36</w:t>
            </w:r>
          </w:p>
        </w:tc>
        <w:tc>
          <w:tcPr>
            <w:tcW w:w="1559" w:type="dxa"/>
            <w:noWrap/>
            <w:vAlign w:val="bottom"/>
            <w:hideMark/>
          </w:tcPr>
          <w:p w14:paraId="795C9620" w14:textId="0E7568A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59.885,72</w:t>
            </w:r>
          </w:p>
        </w:tc>
        <w:tc>
          <w:tcPr>
            <w:tcW w:w="1499" w:type="dxa"/>
            <w:noWrap/>
            <w:vAlign w:val="bottom"/>
            <w:hideMark/>
          </w:tcPr>
          <w:p w14:paraId="6FF85464" w14:textId="573942E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54.242,26</w:t>
            </w:r>
          </w:p>
        </w:tc>
        <w:tc>
          <w:tcPr>
            <w:tcW w:w="1147" w:type="dxa"/>
            <w:noWrap/>
            <w:vAlign w:val="bottom"/>
            <w:hideMark/>
          </w:tcPr>
          <w:p w14:paraId="24CA6974" w14:textId="7F046A4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132,32%</w:t>
            </w:r>
          </w:p>
        </w:tc>
        <w:tc>
          <w:tcPr>
            <w:tcW w:w="1147" w:type="dxa"/>
            <w:noWrap/>
            <w:vAlign w:val="bottom"/>
            <w:hideMark/>
          </w:tcPr>
          <w:p w14:paraId="043C5AFD" w14:textId="5F7928A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90,58%</w:t>
            </w:r>
          </w:p>
        </w:tc>
      </w:tr>
      <w:tr w:rsidR="00E22C2A" w:rsidRPr="00A27368" w14:paraId="3520719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919E9B3" w14:textId="0519AB1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342 Kamate za primljene kredite i zajmove</w:t>
            </w:r>
          </w:p>
        </w:tc>
        <w:tc>
          <w:tcPr>
            <w:tcW w:w="1565" w:type="dxa"/>
            <w:noWrap/>
            <w:vAlign w:val="bottom"/>
            <w:hideMark/>
          </w:tcPr>
          <w:p w14:paraId="42272848" w14:textId="454BF84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4.459,09</w:t>
            </w:r>
          </w:p>
        </w:tc>
        <w:tc>
          <w:tcPr>
            <w:tcW w:w="1560" w:type="dxa"/>
            <w:noWrap/>
            <w:vAlign w:val="bottom"/>
            <w:hideMark/>
          </w:tcPr>
          <w:p w14:paraId="73412B18" w14:textId="19CDBCD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433.884,36</w:t>
            </w:r>
          </w:p>
        </w:tc>
        <w:tc>
          <w:tcPr>
            <w:tcW w:w="1559" w:type="dxa"/>
            <w:noWrap/>
            <w:vAlign w:val="bottom"/>
            <w:hideMark/>
          </w:tcPr>
          <w:p w14:paraId="261F28DD" w14:textId="1C586EC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51.805,72</w:t>
            </w:r>
          </w:p>
        </w:tc>
        <w:tc>
          <w:tcPr>
            <w:tcW w:w="1499" w:type="dxa"/>
            <w:noWrap/>
            <w:vAlign w:val="bottom"/>
            <w:hideMark/>
          </w:tcPr>
          <w:p w14:paraId="146F648E" w14:textId="01116E7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46.632,91</w:t>
            </w:r>
          </w:p>
        </w:tc>
        <w:tc>
          <w:tcPr>
            <w:tcW w:w="1147" w:type="dxa"/>
            <w:noWrap/>
            <w:vAlign w:val="bottom"/>
            <w:hideMark/>
          </w:tcPr>
          <w:p w14:paraId="10714CE4" w14:textId="1C0DE75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1045,79%</w:t>
            </w:r>
          </w:p>
        </w:tc>
        <w:tc>
          <w:tcPr>
            <w:tcW w:w="1147" w:type="dxa"/>
            <w:noWrap/>
            <w:vAlign w:val="bottom"/>
            <w:hideMark/>
          </w:tcPr>
          <w:p w14:paraId="659F8E3C" w14:textId="4FB091F6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90,01%</w:t>
            </w:r>
          </w:p>
        </w:tc>
      </w:tr>
      <w:tr w:rsidR="00E22C2A" w:rsidRPr="00A27368" w14:paraId="19D7D33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8B33108" w14:textId="78873C3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3423 Kamate za primljene kredite i zajmove od kreditnih i ostalih financijskih institucija izvan javnog s</w:t>
            </w:r>
          </w:p>
        </w:tc>
        <w:tc>
          <w:tcPr>
            <w:tcW w:w="1565" w:type="dxa"/>
            <w:noWrap/>
            <w:vAlign w:val="bottom"/>
            <w:hideMark/>
          </w:tcPr>
          <w:p w14:paraId="4D6CE50F" w14:textId="643AC05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4.459,09</w:t>
            </w:r>
          </w:p>
        </w:tc>
        <w:tc>
          <w:tcPr>
            <w:tcW w:w="1560" w:type="dxa"/>
            <w:noWrap/>
            <w:vAlign w:val="bottom"/>
            <w:hideMark/>
          </w:tcPr>
          <w:p w14:paraId="659C5287" w14:textId="3CF0F2E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916FC54" w14:textId="02A3CEC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41DB02F3" w14:textId="033A5F1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46.632,91</w:t>
            </w:r>
          </w:p>
        </w:tc>
        <w:tc>
          <w:tcPr>
            <w:tcW w:w="1147" w:type="dxa"/>
            <w:noWrap/>
            <w:vAlign w:val="bottom"/>
            <w:hideMark/>
          </w:tcPr>
          <w:p w14:paraId="0A0CF55A" w14:textId="7CE6B64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1045,79%</w:t>
            </w:r>
          </w:p>
        </w:tc>
        <w:tc>
          <w:tcPr>
            <w:tcW w:w="1147" w:type="dxa"/>
            <w:noWrap/>
            <w:vAlign w:val="bottom"/>
            <w:hideMark/>
          </w:tcPr>
          <w:p w14:paraId="2E2D45B4" w14:textId="39EB45EA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A86516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7CEFA77" w14:textId="3EF00606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343 Ostali financijski rashodi</w:t>
            </w:r>
          </w:p>
        </w:tc>
        <w:tc>
          <w:tcPr>
            <w:tcW w:w="1565" w:type="dxa"/>
            <w:noWrap/>
            <w:vAlign w:val="bottom"/>
            <w:hideMark/>
          </w:tcPr>
          <w:p w14:paraId="2A6B6905" w14:textId="0F166E0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36.534,63</w:t>
            </w:r>
          </w:p>
        </w:tc>
        <w:tc>
          <w:tcPr>
            <w:tcW w:w="1560" w:type="dxa"/>
            <w:noWrap/>
            <w:vAlign w:val="bottom"/>
            <w:hideMark/>
          </w:tcPr>
          <w:p w14:paraId="75A8AAB9" w14:textId="791E6D4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3.780,00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AA671A" w14:textId="4BC7199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8.080,00</w:t>
            </w:r>
          </w:p>
        </w:tc>
        <w:tc>
          <w:tcPr>
            <w:tcW w:w="1499" w:type="dxa"/>
            <w:noWrap/>
            <w:vAlign w:val="bottom"/>
            <w:hideMark/>
          </w:tcPr>
          <w:p w14:paraId="3E423FDD" w14:textId="5DDD5D9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7.609,35</w:t>
            </w:r>
          </w:p>
        </w:tc>
        <w:tc>
          <w:tcPr>
            <w:tcW w:w="1147" w:type="dxa"/>
            <w:noWrap/>
            <w:vAlign w:val="bottom"/>
            <w:hideMark/>
          </w:tcPr>
          <w:p w14:paraId="0E98DEF3" w14:textId="6DB856D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20,83%</w:t>
            </w:r>
          </w:p>
        </w:tc>
        <w:tc>
          <w:tcPr>
            <w:tcW w:w="1147" w:type="dxa"/>
            <w:noWrap/>
            <w:vAlign w:val="bottom"/>
            <w:hideMark/>
          </w:tcPr>
          <w:p w14:paraId="19ADC5B4" w14:textId="6C19E0A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94,18%</w:t>
            </w:r>
          </w:p>
        </w:tc>
      </w:tr>
      <w:tr w:rsidR="00E22C2A" w:rsidRPr="00A27368" w14:paraId="3B8F465A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DEE7D91" w14:textId="5D33B976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565" w:type="dxa"/>
            <w:noWrap/>
            <w:vAlign w:val="bottom"/>
            <w:hideMark/>
          </w:tcPr>
          <w:p w14:paraId="5153FBA4" w14:textId="63D1213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2.342,33</w:t>
            </w:r>
          </w:p>
        </w:tc>
        <w:tc>
          <w:tcPr>
            <w:tcW w:w="1560" w:type="dxa"/>
            <w:noWrap/>
            <w:vAlign w:val="bottom"/>
            <w:hideMark/>
          </w:tcPr>
          <w:p w14:paraId="1DE9A5DC" w14:textId="68F3C9A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78CB640" w14:textId="6B8C6FA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C387A1C" w14:textId="284D787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1.940,53</w:t>
            </w:r>
          </w:p>
        </w:tc>
        <w:tc>
          <w:tcPr>
            <w:tcW w:w="1147" w:type="dxa"/>
            <w:noWrap/>
            <w:vAlign w:val="bottom"/>
            <w:hideMark/>
          </w:tcPr>
          <w:p w14:paraId="7DB15B3C" w14:textId="733E240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82,85%</w:t>
            </w:r>
          </w:p>
        </w:tc>
        <w:tc>
          <w:tcPr>
            <w:tcW w:w="1147" w:type="dxa"/>
            <w:noWrap/>
            <w:vAlign w:val="bottom"/>
            <w:hideMark/>
          </w:tcPr>
          <w:p w14:paraId="18060F8D" w14:textId="31F9763D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E3B01E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28AB208" w14:textId="28F33B16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3434 Ostali nespomenuti financijski rashodi</w:t>
            </w:r>
          </w:p>
        </w:tc>
        <w:tc>
          <w:tcPr>
            <w:tcW w:w="1565" w:type="dxa"/>
            <w:noWrap/>
            <w:vAlign w:val="bottom"/>
            <w:hideMark/>
          </w:tcPr>
          <w:p w14:paraId="1DDC8D63" w14:textId="1324CBA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34.192,30</w:t>
            </w:r>
          </w:p>
        </w:tc>
        <w:tc>
          <w:tcPr>
            <w:tcW w:w="1560" w:type="dxa"/>
            <w:noWrap/>
            <w:vAlign w:val="bottom"/>
            <w:hideMark/>
          </w:tcPr>
          <w:p w14:paraId="3128D673" w14:textId="05A5BE1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6B7CF33" w14:textId="4279DB2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4948DB3" w14:textId="28CCBBD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5.668,82</w:t>
            </w:r>
          </w:p>
        </w:tc>
        <w:tc>
          <w:tcPr>
            <w:tcW w:w="1147" w:type="dxa"/>
            <w:noWrap/>
            <w:vAlign w:val="bottom"/>
            <w:hideMark/>
          </w:tcPr>
          <w:p w14:paraId="620CF261" w14:textId="082ABA3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16,58%</w:t>
            </w:r>
          </w:p>
        </w:tc>
        <w:tc>
          <w:tcPr>
            <w:tcW w:w="1147" w:type="dxa"/>
            <w:noWrap/>
            <w:vAlign w:val="bottom"/>
            <w:hideMark/>
          </w:tcPr>
          <w:p w14:paraId="25BB51BA" w14:textId="6A357AF5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26E5CE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8C57ACC" w14:textId="400A02B2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565" w:type="dxa"/>
            <w:noWrap/>
            <w:vAlign w:val="bottom"/>
            <w:hideMark/>
          </w:tcPr>
          <w:p w14:paraId="2B04C990" w14:textId="00FFF7A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5.399,99</w:t>
            </w:r>
          </w:p>
        </w:tc>
        <w:tc>
          <w:tcPr>
            <w:tcW w:w="1560" w:type="dxa"/>
            <w:noWrap/>
            <w:vAlign w:val="bottom"/>
            <w:hideMark/>
          </w:tcPr>
          <w:p w14:paraId="71B570E7" w14:textId="319C4D7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8B934B8" w14:textId="28B002A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6.750,00</w:t>
            </w:r>
          </w:p>
        </w:tc>
        <w:tc>
          <w:tcPr>
            <w:tcW w:w="1499" w:type="dxa"/>
            <w:noWrap/>
            <w:vAlign w:val="bottom"/>
            <w:hideMark/>
          </w:tcPr>
          <w:p w14:paraId="542858C6" w14:textId="516A849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6.750,00</w:t>
            </w:r>
          </w:p>
        </w:tc>
        <w:tc>
          <w:tcPr>
            <w:tcW w:w="1147" w:type="dxa"/>
            <w:noWrap/>
            <w:vAlign w:val="bottom"/>
            <w:hideMark/>
          </w:tcPr>
          <w:p w14:paraId="2AE28D48" w14:textId="2F3AC8D6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125,00%</w:t>
            </w:r>
          </w:p>
        </w:tc>
        <w:tc>
          <w:tcPr>
            <w:tcW w:w="1147" w:type="dxa"/>
            <w:noWrap/>
            <w:vAlign w:val="bottom"/>
            <w:hideMark/>
          </w:tcPr>
          <w:p w14:paraId="5052C578" w14:textId="562BA39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22C2A" w:rsidRPr="00A27368" w14:paraId="2367D7E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EEF726C" w14:textId="0EED2191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 Subvencije kreditnim i ostalim financijskim institucijama i trgovačkim društvima u javnom sektoru</w:t>
            </w:r>
          </w:p>
        </w:tc>
        <w:tc>
          <w:tcPr>
            <w:tcW w:w="1565" w:type="dxa"/>
            <w:noWrap/>
            <w:vAlign w:val="bottom"/>
            <w:hideMark/>
          </w:tcPr>
          <w:p w14:paraId="330564EA" w14:textId="7EC1A2D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5.399,99</w:t>
            </w:r>
          </w:p>
        </w:tc>
        <w:tc>
          <w:tcPr>
            <w:tcW w:w="1560" w:type="dxa"/>
            <w:noWrap/>
            <w:vAlign w:val="bottom"/>
            <w:hideMark/>
          </w:tcPr>
          <w:p w14:paraId="70FD2A04" w14:textId="638FE70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B41C075" w14:textId="63520C7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6.750,00</w:t>
            </w:r>
          </w:p>
        </w:tc>
        <w:tc>
          <w:tcPr>
            <w:tcW w:w="1499" w:type="dxa"/>
            <w:noWrap/>
            <w:vAlign w:val="bottom"/>
            <w:hideMark/>
          </w:tcPr>
          <w:p w14:paraId="64811CA5" w14:textId="30DC6F5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6.750,00</w:t>
            </w:r>
          </w:p>
        </w:tc>
        <w:tc>
          <w:tcPr>
            <w:tcW w:w="1147" w:type="dxa"/>
            <w:noWrap/>
            <w:vAlign w:val="bottom"/>
            <w:hideMark/>
          </w:tcPr>
          <w:p w14:paraId="4834E578" w14:textId="5E5962A4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125,00%</w:t>
            </w:r>
          </w:p>
        </w:tc>
        <w:tc>
          <w:tcPr>
            <w:tcW w:w="1147" w:type="dxa"/>
            <w:noWrap/>
            <w:vAlign w:val="bottom"/>
            <w:hideMark/>
          </w:tcPr>
          <w:p w14:paraId="30540C47" w14:textId="3A3C8E1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22C2A" w:rsidRPr="00A27368" w14:paraId="6F986532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1D2D07F" w14:textId="12DE5FAE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3512 Subvencije trgovačkim društvima u javnom sektoru</w:t>
            </w:r>
          </w:p>
        </w:tc>
        <w:tc>
          <w:tcPr>
            <w:tcW w:w="1565" w:type="dxa"/>
            <w:noWrap/>
            <w:vAlign w:val="bottom"/>
            <w:hideMark/>
          </w:tcPr>
          <w:p w14:paraId="6F958395" w14:textId="18CF85EE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5.399,99</w:t>
            </w:r>
          </w:p>
        </w:tc>
        <w:tc>
          <w:tcPr>
            <w:tcW w:w="1560" w:type="dxa"/>
            <w:noWrap/>
            <w:vAlign w:val="bottom"/>
            <w:hideMark/>
          </w:tcPr>
          <w:p w14:paraId="55E5D719" w14:textId="6C51B408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D79D08B" w14:textId="15747611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5424500" w14:textId="148C33D2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  <w:tc>
          <w:tcPr>
            <w:tcW w:w="1147" w:type="dxa"/>
            <w:noWrap/>
            <w:vAlign w:val="bottom"/>
            <w:hideMark/>
          </w:tcPr>
          <w:p w14:paraId="0A5E0F68" w14:textId="3A558F3C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125,00%</w:t>
            </w:r>
          </w:p>
        </w:tc>
        <w:tc>
          <w:tcPr>
            <w:tcW w:w="1147" w:type="dxa"/>
            <w:noWrap/>
            <w:vAlign w:val="bottom"/>
            <w:hideMark/>
          </w:tcPr>
          <w:p w14:paraId="5581CCBD" w14:textId="7F64D6EC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C8CE9A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46F16A4" w14:textId="494AD41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74C46592" w14:textId="389C1F1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62.244,01</w:t>
            </w:r>
          </w:p>
        </w:tc>
        <w:tc>
          <w:tcPr>
            <w:tcW w:w="1560" w:type="dxa"/>
            <w:noWrap/>
            <w:vAlign w:val="bottom"/>
            <w:hideMark/>
          </w:tcPr>
          <w:p w14:paraId="2D7983A2" w14:textId="128B0A3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9BB9F6A" w14:textId="58BF741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67.033,57</w:t>
            </w:r>
          </w:p>
        </w:tc>
        <w:tc>
          <w:tcPr>
            <w:tcW w:w="1499" w:type="dxa"/>
            <w:noWrap/>
            <w:vAlign w:val="bottom"/>
            <w:hideMark/>
          </w:tcPr>
          <w:p w14:paraId="1DDF7CE0" w14:textId="6CBCD12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66.330,61</w:t>
            </w:r>
          </w:p>
        </w:tc>
        <w:tc>
          <w:tcPr>
            <w:tcW w:w="1147" w:type="dxa"/>
            <w:noWrap/>
            <w:vAlign w:val="bottom"/>
            <w:hideMark/>
          </w:tcPr>
          <w:p w14:paraId="21C66F46" w14:textId="0043817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106,57%</w:t>
            </w:r>
          </w:p>
        </w:tc>
        <w:tc>
          <w:tcPr>
            <w:tcW w:w="1147" w:type="dxa"/>
            <w:noWrap/>
            <w:vAlign w:val="bottom"/>
            <w:hideMark/>
          </w:tcPr>
          <w:p w14:paraId="54A7985C" w14:textId="6514EFB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98,95%</w:t>
            </w:r>
          </w:p>
        </w:tc>
      </w:tr>
      <w:tr w:rsidR="00E22C2A" w:rsidRPr="00A27368" w14:paraId="78988AB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4EC522F" w14:textId="21A60A5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366 Pomoći proračunskim korisnicima drugih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7919967C" w14:textId="50E08C5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62.244,01</w:t>
            </w:r>
          </w:p>
        </w:tc>
        <w:tc>
          <w:tcPr>
            <w:tcW w:w="1560" w:type="dxa"/>
            <w:noWrap/>
            <w:vAlign w:val="bottom"/>
            <w:hideMark/>
          </w:tcPr>
          <w:p w14:paraId="65AF02D7" w14:textId="08CFB3D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0CCC40" w14:textId="7D41EBB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67.033,57</w:t>
            </w:r>
          </w:p>
        </w:tc>
        <w:tc>
          <w:tcPr>
            <w:tcW w:w="1499" w:type="dxa"/>
            <w:noWrap/>
            <w:vAlign w:val="bottom"/>
            <w:hideMark/>
          </w:tcPr>
          <w:p w14:paraId="34045412" w14:textId="3939DD8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66.330,61</w:t>
            </w:r>
          </w:p>
        </w:tc>
        <w:tc>
          <w:tcPr>
            <w:tcW w:w="1147" w:type="dxa"/>
            <w:noWrap/>
            <w:vAlign w:val="bottom"/>
            <w:hideMark/>
          </w:tcPr>
          <w:p w14:paraId="2519FF72" w14:textId="6766A86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106,57%</w:t>
            </w:r>
          </w:p>
        </w:tc>
        <w:tc>
          <w:tcPr>
            <w:tcW w:w="1147" w:type="dxa"/>
            <w:noWrap/>
            <w:vAlign w:val="bottom"/>
            <w:hideMark/>
          </w:tcPr>
          <w:p w14:paraId="71698823" w14:textId="1582985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98,95%</w:t>
            </w:r>
          </w:p>
        </w:tc>
      </w:tr>
      <w:tr w:rsidR="00E22C2A" w:rsidRPr="00A27368" w14:paraId="0D4ACF4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F0F87BF" w14:textId="101B87C2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3661 Tekuće pomoći proračunskim korisnicima drugih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61D77371" w14:textId="5EF2262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62.244,01</w:t>
            </w:r>
          </w:p>
        </w:tc>
        <w:tc>
          <w:tcPr>
            <w:tcW w:w="1560" w:type="dxa"/>
            <w:noWrap/>
            <w:vAlign w:val="bottom"/>
            <w:hideMark/>
          </w:tcPr>
          <w:p w14:paraId="217493B7" w14:textId="0AAEA22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05388E8" w14:textId="6890636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FB7F350" w14:textId="592C281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66.330,61</w:t>
            </w:r>
          </w:p>
        </w:tc>
        <w:tc>
          <w:tcPr>
            <w:tcW w:w="1147" w:type="dxa"/>
            <w:noWrap/>
            <w:vAlign w:val="bottom"/>
            <w:hideMark/>
          </w:tcPr>
          <w:p w14:paraId="7EFE2564" w14:textId="606D1C3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106,57%</w:t>
            </w:r>
          </w:p>
        </w:tc>
        <w:tc>
          <w:tcPr>
            <w:tcW w:w="1147" w:type="dxa"/>
            <w:noWrap/>
            <w:vAlign w:val="bottom"/>
            <w:hideMark/>
          </w:tcPr>
          <w:p w14:paraId="76ED6BBB" w14:textId="54DF6EDF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695FCEC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9FDE73A" w14:textId="05F6497F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565" w:type="dxa"/>
            <w:noWrap/>
            <w:vAlign w:val="bottom"/>
            <w:hideMark/>
          </w:tcPr>
          <w:p w14:paraId="6C9C6426" w14:textId="245E3C7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292.326,88</w:t>
            </w:r>
          </w:p>
        </w:tc>
        <w:tc>
          <w:tcPr>
            <w:tcW w:w="1560" w:type="dxa"/>
            <w:noWrap/>
            <w:vAlign w:val="bottom"/>
            <w:hideMark/>
          </w:tcPr>
          <w:p w14:paraId="46BAFBF7" w14:textId="5C9110C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320.350,00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611DCE" w14:textId="13017E1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427.031,83</w:t>
            </w:r>
          </w:p>
        </w:tc>
        <w:tc>
          <w:tcPr>
            <w:tcW w:w="1499" w:type="dxa"/>
            <w:noWrap/>
            <w:vAlign w:val="bottom"/>
            <w:hideMark/>
          </w:tcPr>
          <w:p w14:paraId="3EC130F7" w14:textId="3FA5568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409.880,54</w:t>
            </w:r>
          </w:p>
        </w:tc>
        <w:tc>
          <w:tcPr>
            <w:tcW w:w="1147" w:type="dxa"/>
            <w:noWrap/>
            <w:vAlign w:val="bottom"/>
            <w:hideMark/>
          </w:tcPr>
          <w:p w14:paraId="1480585D" w14:textId="7FE9EF8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140,21%</w:t>
            </w:r>
          </w:p>
        </w:tc>
        <w:tc>
          <w:tcPr>
            <w:tcW w:w="1147" w:type="dxa"/>
            <w:noWrap/>
            <w:vAlign w:val="bottom"/>
            <w:hideMark/>
          </w:tcPr>
          <w:p w14:paraId="1ACA9917" w14:textId="743C8AD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22C2A" w:rsidRPr="00A27368" w14:paraId="0876C2C2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B8BECA7" w14:textId="18A5A40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1565" w:type="dxa"/>
            <w:noWrap/>
            <w:vAlign w:val="bottom"/>
            <w:hideMark/>
          </w:tcPr>
          <w:p w14:paraId="62028607" w14:textId="09F8F9D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292.326,88</w:t>
            </w:r>
          </w:p>
        </w:tc>
        <w:tc>
          <w:tcPr>
            <w:tcW w:w="1560" w:type="dxa"/>
            <w:noWrap/>
            <w:vAlign w:val="bottom"/>
            <w:hideMark/>
          </w:tcPr>
          <w:p w14:paraId="15DC9FB3" w14:textId="11565DE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320.350,00</w:t>
            </w:r>
          </w:p>
        </w:tc>
        <w:tc>
          <w:tcPr>
            <w:tcW w:w="1559" w:type="dxa"/>
            <w:noWrap/>
            <w:vAlign w:val="bottom"/>
            <w:hideMark/>
          </w:tcPr>
          <w:p w14:paraId="4BE751BF" w14:textId="578AA2E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427.031,83</w:t>
            </w:r>
          </w:p>
        </w:tc>
        <w:tc>
          <w:tcPr>
            <w:tcW w:w="1499" w:type="dxa"/>
            <w:noWrap/>
            <w:vAlign w:val="bottom"/>
            <w:hideMark/>
          </w:tcPr>
          <w:p w14:paraId="0437DD50" w14:textId="5837BC3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409.880,54</w:t>
            </w:r>
          </w:p>
        </w:tc>
        <w:tc>
          <w:tcPr>
            <w:tcW w:w="1147" w:type="dxa"/>
            <w:noWrap/>
            <w:vAlign w:val="bottom"/>
            <w:hideMark/>
          </w:tcPr>
          <w:p w14:paraId="6E320021" w14:textId="643E28C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140,21%</w:t>
            </w:r>
          </w:p>
        </w:tc>
        <w:tc>
          <w:tcPr>
            <w:tcW w:w="1147" w:type="dxa"/>
            <w:noWrap/>
            <w:vAlign w:val="bottom"/>
            <w:hideMark/>
          </w:tcPr>
          <w:p w14:paraId="0F3BE96D" w14:textId="6D3FBE5F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22C2A" w:rsidRPr="00A27368" w14:paraId="7CC322E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F1A3CE1" w14:textId="15980BA1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3721 Naknade građanima i kućanstvima u novcu</w:t>
            </w:r>
          </w:p>
        </w:tc>
        <w:tc>
          <w:tcPr>
            <w:tcW w:w="1565" w:type="dxa"/>
            <w:noWrap/>
            <w:vAlign w:val="bottom"/>
            <w:hideMark/>
          </w:tcPr>
          <w:p w14:paraId="3C9E6A9E" w14:textId="5A04ECA6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207.639,64</w:t>
            </w:r>
          </w:p>
        </w:tc>
        <w:tc>
          <w:tcPr>
            <w:tcW w:w="1560" w:type="dxa"/>
            <w:noWrap/>
            <w:vAlign w:val="bottom"/>
            <w:hideMark/>
          </w:tcPr>
          <w:p w14:paraId="246CF1F0" w14:textId="09F785F5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28A430E" w14:textId="77DABFD3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D3B32C7" w14:textId="30B48D1C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322.339,25</w:t>
            </w:r>
          </w:p>
        </w:tc>
        <w:tc>
          <w:tcPr>
            <w:tcW w:w="1147" w:type="dxa"/>
            <w:noWrap/>
            <w:vAlign w:val="bottom"/>
            <w:hideMark/>
          </w:tcPr>
          <w:p w14:paraId="3317A2BC" w14:textId="30A6A685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155,24%</w:t>
            </w:r>
          </w:p>
        </w:tc>
        <w:tc>
          <w:tcPr>
            <w:tcW w:w="1147" w:type="dxa"/>
            <w:noWrap/>
            <w:vAlign w:val="bottom"/>
            <w:hideMark/>
          </w:tcPr>
          <w:p w14:paraId="2CCAD7BC" w14:textId="044F0274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4F77BA2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51E9A58" w14:textId="20C9B10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1565" w:type="dxa"/>
            <w:noWrap/>
            <w:vAlign w:val="bottom"/>
            <w:hideMark/>
          </w:tcPr>
          <w:p w14:paraId="621420D2" w14:textId="40923B4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84.687,24</w:t>
            </w:r>
          </w:p>
        </w:tc>
        <w:tc>
          <w:tcPr>
            <w:tcW w:w="1560" w:type="dxa"/>
            <w:noWrap/>
            <w:vAlign w:val="bottom"/>
            <w:hideMark/>
          </w:tcPr>
          <w:p w14:paraId="393C05FC" w14:textId="44FA1BA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EBE6B63" w14:textId="4A034988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A2AA2CE" w14:textId="62F15EC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87.541,29</w:t>
            </w:r>
          </w:p>
        </w:tc>
        <w:tc>
          <w:tcPr>
            <w:tcW w:w="1147" w:type="dxa"/>
            <w:noWrap/>
            <w:vAlign w:val="bottom"/>
            <w:hideMark/>
          </w:tcPr>
          <w:p w14:paraId="50B4C3FA" w14:textId="2D1AE8A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103,37%</w:t>
            </w:r>
          </w:p>
        </w:tc>
        <w:tc>
          <w:tcPr>
            <w:tcW w:w="1147" w:type="dxa"/>
            <w:noWrap/>
            <w:vAlign w:val="bottom"/>
            <w:hideMark/>
          </w:tcPr>
          <w:p w14:paraId="41CF3380" w14:textId="7C5B34B0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3C2A73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54ED04A" w14:textId="14105CBB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565" w:type="dxa"/>
            <w:noWrap/>
            <w:vAlign w:val="bottom"/>
            <w:hideMark/>
          </w:tcPr>
          <w:p w14:paraId="1B9989F1" w14:textId="7CAC241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308.314,35</w:t>
            </w:r>
          </w:p>
        </w:tc>
        <w:tc>
          <w:tcPr>
            <w:tcW w:w="1560" w:type="dxa"/>
            <w:noWrap/>
            <w:vAlign w:val="bottom"/>
            <w:hideMark/>
          </w:tcPr>
          <w:p w14:paraId="6C4D9AF8" w14:textId="5B84265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322.323,49</w:t>
            </w:r>
          </w:p>
        </w:tc>
        <w:tc>
          <w:tcPr>
            <w:tcW w:w="1559" w:type="dxa"/>
            <w:noWrap/>
            <w:vAlign w:val="bottom"/>
            <w:hideMark/>
          </w:tcPr>
          <w:p w14:paraId="783F13AD" w14:textId="0C91DBE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343.764,30</w:t>
            </w:r>
          </w:p>
        </w:tc>
        <w:tc>
          <w:tcPr>
            <w:tcW w:w="1499" w:type="dxa"/>
            <w:noWrap/>
            <w:vAlign w:val="bottom"/>
            <w:hideMark/>
          </w:tcPr>
          <w:p w14:paraId="26E2D028" w14:textId="10B8041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317.129,54</w:t>
            </w:r>
          </w:p>
        </w:tc>
        <w:tc>
          <w:tcPr>
            <w:tcW w:w="1147" w:type="dxa"/>
            <w:noWrap/>
            <w:vAlign w:val="bottom"/>
            <w:hideMark/>
          </w:tcPr>
          <w:p w14:paraId="66584F31" w14:textId="792F14C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102,86%</w:t>
            </w:r>
          </w:p>
        </w:tc>
        <w:tc>
          <w:tcPr>
            <w:tcW w:w="1147" w:type="dxa"/>
            <w:noWrap/>
            <w:vAlign w:val="bottom"/>
            <w:hideMark/>
          </w:tcPr>
          <w:p w14:paraId="64E301A3" w14:textId="115C6355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92,25%</w:t>
            </w:r>
          </w:p>
        </w:tc>
      </w:tr>
      <w:tr w:rsidR="00E22C2A" w:rsidRPr="00A27368" w14:paraId="2FFB74BD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D953954" w14:textId="6F6D6AA6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381 Tekuće donacije</w:t>
            </w:r>
          </w:p>
        </w:tc>
        <w:tc>
          <w:tcPr>
            <w:tcW w:w="1565" w:type="dxa"/>
            <w:noWrap/>
            <w:vAlign w:val="bottom"/>
            <w:hideMark/>
          </w:tcPr>
          <w:p w14:paraId="30C51146" w14:textId="6E4D696D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237.799,84</w:t>
            </w:r>
          </w:p>
        </w:tc>
        <w:tc>
          <w:tcPr>
            <w:tcW w:w="1560" w:type="dxa"/>
            <w:noWrap/>
            <w:vAlign w:val="bottom"/>
            <w:hideMark/>
          </w:tcPr>
          <w:p w14:paraId="13348865" w14:textId="65D81226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243.696,26</w:t>
            </w:r>
          </w:p>
        </w:tc>
        <w:tc>
          <w:tcPr>
            <w:tcW w:w="1559" w:type="dxa"/>
            <w:noWrap/>
            <w:vAlign w:val="bottom"/>
            <w:hideMark/>
          </w:tcPr>
          <w:p w14:paraId="616135A0" w14:textId="1E5CAB1F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276.137,07</w:t>
            </w:r>
          </w:p>
        </w:tc>
        <w:tc>
          <w:tcPr>
            <w:tcW w:w="1499" w:type="dxa"/>
            <w:noWrap/>
            <w:vAlign w:val="bottom"/>
            <w:hideMark/>
          </w:tcPr>
          <w:p w14:paraId="69531809" w14:textId="5A7BB457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255.290,49</w:t>
            </w:r>
          </w:p>
        </w:tc>
        <w:tc>
          <w:tcPr>
            <w:tcW w:w="1147" w:type="dxa"/>
            <w:noWrap/>
            <w:vAlign w:val="bottom"/>
            <w:hideMark/>
          </w:tcPr>
          <w:p w14:paraId="33CDF41A" w14:textId="7569DB86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107,36%</w:t>
            </w:r>
          </w:p>
        </w:tc>
        <w:tc>
          <w:tcPr>
            <w:tcW w:w="1147" w:type="dxa"/>
            <w:noWrap/>
            <w:vAlign w:val="bottom"/>
            <w:hideMark/>
          </w:tcPr>
          <w:p w14:paraId="7F1A5352" w14:textId="19FCD207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92,45%</w:t>
            </w:r>
          </w:p>
        </w:tc>
      </w:tr>
      <w:tr w:rsidR="00E22C2A" w:rsidRPr="00A27368" w14:paraId="60A68A5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CBA4B8D" w14:textId="38059D3F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3811 Tekuće donacije u novcu</w:t>
            </w:r>
          </w:p>
        </w:tc>
        <w:tc>
          <w:tcPr>
            <w:tcW w:w="1565" w:type="dxa"/>
            <w:noWrap/>
            <w:vAlign w:val="bottom"/>
            <w:hideMark/>
          </w:tcPr>
          <w:p w14:paraId="71F158B4" w14:textId="02C0389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235.325,81</w:t>
            </w:r>
          </w:p>
        </w:tc>
        <w:tc>
          <w:tcPr>
            <w:tcW w:w="1560" w:type="dxa"/>
            <w:noWrap/>
            <w:vAlign w:val="bottom"/>
            <w:hideMark/>
          </w:tcPr>
          <w:p w14:paraId="52E4F497" w14:textId="23473340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48820CB" w14:textId="7D85DB8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55EE0B6" w14:textId="3CFD31E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255.290,49</w:t>
            </w:r>
          </w:p>
        </w:tc>
        <w:tc>
          <w:tcPr>
            <w:tcW w:w="1147" w:type="dxa"/>
            <w:noWrap/>
            <w:vAlign w:val="bottom"/>
            <w:hideMark/>
          </w:tcPr>
          <w:p w14:paraId="03DFA593" w14:textId="4F08C123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108,48%</w:t>
            </w:r>
          </w:p>
        </w:tc>
        <w:tc>
          <w:tcPr>
            <w:tcW w:w="1147" w:type="dxa"/>
            <w:noWrap/>
            <w:vAlign w:val="bottom"/>
            <w:hideMark/>
          </w:tcPr>
          <w:p w14:paraId="35DFAAC1" w14:textId="1DE6393A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D58E10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016692C" w14:textId="1B8AB40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3812 Tekuće donacije u naravi</w:t>
            </w:r>
          </w:p>
        </w:tc>
        <w:tc>
          <w:tcPr>
            <w:tcW w:w="1565" w:type="dxa"/>
            <w:noWrap/>
            <w:vAlign w:val="bottom"/>
            <w:hideMark/>
          </w:tcPr>
          <w:p w14:paraId="26CDABF4" w14:textId="365B62B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2.474,03</w:t>
            </w:r>
          </w:p>
        </w:tc>
        <w:tc>
          <w:tcPr>
            <w:tcW w:w="1560" w:type="dxa"/>
            <w:noWrap/>
            <w:vAlign w:val="bottom"/>
            <w:hideMark/>
          </w:tcPr>
          <w:p w14:paraId="3B4A89EE" w14:textId="6AE69FE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359A4495" w14:textId="2C906AAF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A45C8CA" w14:textId="732DFE9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7" w:type="dxa"/>
            <w:noWrap/>
            <w:vAlign w:val="bottom"/>
            <w:hideMark/>
          </w:tcPr>
          <w:p w14:paraId="6234E438" w14:textId="7AA1B5D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2224157B" w14:textId="28CA9A08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A806A1D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35BEB9F7" w14:textId="0266DE61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382 Kapitalne donacije</w:t>
            </w:r>
          </w:p>
        </w:tc>
        <w:tc>
          <w:tcPr>
            <w:tcW w:w="1565" w:type="dxa"/>
            <w:noWrap/>
            <w:vAlign w:val="bottom"/>
            <w:hideMark/>
          </w:tcPr>
          <w:p w14:paraId="70F11770" w14:textId="7399EF6E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C1D144D" w14:textId="0F10B4FA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2A0CE7A" w14:textId="64973F62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5E1DE593" w14:textId="305335BE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147" w:type="dxa"/>
            <w:noWrap/>
            <w:vAlign w:val="bottom"/>
            <w:hideMark/>
          </w:tcPr>
          <w:p w14:paraId="3BFD2EA4" w14:textId="01268CC3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110,00%</w:t>
            </w:r>
          </w:p>
        </w:tc>
        <w:tc>
          <w:tcPr>
            <w:tcW w:w="1147" w:type="dxa"/>
            <w:noWrap/>
            <w:vAlign w:val="bottom"/>
            <w:hideMark/>
          </w:tcPr>
          <w:p w14:paraId="7AF3152D" w14:textId="011E8991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22C2A" w:rsidRPr="00A27368" w14:paraId="66363CF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B73C3AA" w14:textId="3685AB2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3821 Kapitalne donacije neprofitnim organizacijama</w:t>
            </w:r>
          </w:p>
        </w:tc>
        <w:tc>
          <w:tcPr>
            <w:tcW w:w="1565" w:type="dxa"/>
            <w:noWrap/>
            <w:vAlign w:val="bottom"/>
            <w:hideMark/>
          </w:tcPr>
          <w:p w14:paraId="7325FE29" w14:textId="47F0B87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13946DF2" w14:textId="78E1B4E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04AAAEA" w14:textId="05E6C011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B8BB039" w14:textId="72666AC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147" w:type="dxa"/>
            <w:noWrap/>
            <w:vAlign w:val="bottom"/>
            <w:hideMark/>
          </w:tcPr>
          <w:p w14:paraId="08F42CB0" w14:textId="60A3DA4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150,00%</w:t>
            </w:r>
          </w:p>
        </w:tc>
        <w:tc>
          <w:tcPr>
            <w:tcW w:w="1147" w:type="dxa"/>
            <w:noWrap/>
            <w:vAlign w:val="bottom"/>
            <w:hideMark/>
          </w:tcPr>
          <w:p w14:paraId="1A631556" w14:textId="08F9AD50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2C793BA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9CD9676" w14:textId="11E13A76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3822 Kapitalne donacije građanima i kućanstvima</w:t>
            </w:r>
          </w:p>
        </w:tc>
        <w:tc>
          <w:tcPr>
            <w:tcW w:w="1565" w:type="dxa"/>
            <w:noWrap/>
            <w:vAlign w:val="bottom"/>
            <w:hideMark/>
          </w:tcPr>
          <w:p w14:paraId="6F1218B0" w14:textId="11A28B43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244A0064" w14:textId="23C53FAA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5FDB7E5" w14:textId="61282AA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3184B58B" w14:textId="0A219B6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1147" w:type="dxa"/>
            <w:noWrap/>
            <w:vAlign w:val="bottom"/>
            <w:hideMark/>
          </w:tcPr>
          <w:p w14:paraId="4B3557CF" w14:textId="79DAACEF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1147" w:type="dxa"/>
            <w:noWrap/>
            <w:vAlign w:val="bottom"/>
            <w:hideMark/>
          </w:tcPr>
          <w:p w14:paraId="58767085" w14:textId="55294E86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19DBB62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D7B389C" w14:textId="69DC580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383 Kazne, penali i naknade štete</w:t>
            </w:r>
          </w:p>
        </w:tc>
        <w:tc>
          <w:tcPr>
            <w:tcW w:w="1565" w:type="dxa"/>
            <w:noWrap/>
            <w:vAlign w:val="bottom"/>
            <w:hideMark/>
          </w:tcPr>
          <w:p w14:paraId="0B37A40C" w14:textId="452AE2AF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709D1EFF" w14:textId="598979F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6BB1725" w14:textId="0FE6EA9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99" w:type="dxa"/>
            <w:noWrap/>
            <w:vAlign w:val="bottom"/>
            <w:hideMark/>
          </w:tcPr>
          <w:p w14:paraId="6273BFAE" w14:textId="28C2BEB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0D8D5CDE" w14:textId="6FB8484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03305E49" w14:textId="0BBABDB8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2A7C5AA4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B2A8687" w14:textId="07E73E3E" w:rsidR="00E22C2A" w:rsidRPr="00A27368" w:rsidRDefault="00E22C2A" w:rsidP="00E22C2A">
            <w:pPr>
              <w:tabs>
                <w:tab w:val="left" w:pos="4973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385 Izvanredni rashodi</w:t>
            </w:r>
          </w:p>
        </w:tc>
        <w:tc>
          <w:tcPr>
            <w:tcW w:w="1565" w:type="dxa"/>
            <w:noWrap/>
            <w:vAlign w:val="bottom"/>
            <w:hideMark/>
          </w:tcPr>
          <w:p w14:paraId="3977D76A" w14:textId="4D4B8798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58FC657" w14:textId="6FC70BA0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1.327,23</w:t>
            </w:r>
          </w:p>
        </w:tc>
        <w:tc>
          <w:tcPr>
            <w:tcW w:w="1559" w:type="dxa"/>
            <w:noWrap/>
            <w:vAlign w:val="bottom"/>
            <w:hideMark/>
          </w:tcPr>
          <w:p w14:paraId="37B8C05D" w14:textId="5B3F7469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1.327,23</w:t>
            </w:r>
          </w:p>
        </w:tc>
        <w:tc>
          <w:tcPr>
            <w:tcW w:w="1499" w:type="dxa"/>
            <w:noWrap/>
            <w:vAlign w:val="bottom"/>
            <w:hideMark/>
          </w:tcPr>
          <w:p w14:paraId="45B87192" w14:textId="2C61B484" w:rsidR="00E22C2A" w:rsidRPr="00A27368" w:rsidRDefault="00E22C2A" w:rsidP="00E22C2A">
            <w:pPr>
              <w:tabs>
                <w:tab w:val="left" w:pos="4973"/>
              </w:tabs>
              <w:jc w:val="right"/>
              <w:rPr>
                <w:b/>
                <w:bCs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4FE9DA4F" w14:textId="11CE6DB8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5968F498" w14:textId="3753DEB9" w:rsidR="00E22C2A" w:rsidRPr="00A27368" w:rsidRDefault="00E22C2A" w:rsidP="00E22C2A">
            <w:pPr>
              <w:tabs>
                <w:tab w:val="left" w:pos="4973"/>
              </w:tabs>
              <w:jc w:val="center"/>
              <w:rPr>
                <w:b/>
                <w:bCs/>
              </w:rPr>
            </w:pPr>
          </w:p>
        </w:tc>
      </w:tr>
      <w:tr w:rsidR="00E22C2A" w:rsidRPr="00A27368" w14:paraId="0496A38B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FADFCDF" w14:textId="78891F21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386 Kapitalne pomoći</w:t>
            </w:r>
          </w:p>
        </w:tc>
        <w:tc>
          <w:tcPr>
            <w:tcW w:w="1565" w:type="dxa"/>
            <w:noWrap/>
            <w:vAlign w:val="bottom"/>
            <w:hideMark/>
          </w:tcPr>
          <w:p w14:paraId="50CAF929" w14:textId="18E0E3B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20.514,51</w:t>
            </w:r>
          </w:p>
        </w:tc>
        <w:tc>
          <w:tcPr>
            <w:tcW w:w="1560" w:type="dxa"/>
            <w:noWrap/>
            <w:vAlign w:val="bottom"/>
            <w:hideMark/>
          </w:tcPr>
          <w:p w14:paraId="15C5875E" w14:textId="3D6A760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5E6E316" w14:textId="4CD2389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9" w:type="dxa"/>
            <w:noWrap/>
            <w:vAlign w:val="bottom"/>
            <w:hideMark/>
          </w:tcPr>
          <w:p w14:paraId="15A296D7" w14:textId="2819F16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6.839,05</w:t>
            </w:r>
          </w:p>
        </w:tc>
        <w:tc>
          <w:tcPr>
            <w:tcW w:w="1147" w:type="dxa"/>
            <w:noWrap/>
            <w:vAlign w:val="bottom"/>
            <w:hideMark/>
          </w:tcPr>
          <w:p w14:paraId="19817366" w14:textId="33C7A4E6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33,34%</w:t>
            </w:r>
          </w:p>
        </w:tc>
        <w:tc>
          <w:tcPr>
            <w:tcW w:w="1147" w:type="dxa"/>
            <w:noWrap/>
            <w:vAlign w:val="bottom"/>
            <w:hideMark/>
          </w:tcPr>
          <w:p w14:paraId="1634D9DD" w14:textId="665A659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68,39%</w:t>
            </w:r>
          </w:p>
        </w:tc>
      </w:tr>
      <w:tr w:rsidR="00E22C2A" w:rsidRPr="00A27368" w14:paraId="6CB4537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20CBE13" w14:textId="0BAE9C16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565" w:type="dxa"/>
            <w:noWrap/>
            <w:vAlign w:val="bottom"/>
            <w:hideMark/>
          </w:tcPr>
          <w:p w14:paraId="5DE4A9AE" w14:textId="4BDE6BC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20.514,51</w:t>
            </w:r>
          </w:p>
        </w:tc>
        <w:tc>
          <w:tcPr>
            <w:tcW w:w="1560" w:type="dxa"/>
            <w:noWrap/>
            <w:vAlign w:val="bottom"/>
            <w:hideMark/>
          </w:tcPr>
          <w:p w14:paraId="284E5CB1" w14:textId="2EDA98A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146BC07" w14:textId="131EF7D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1A84E8D" w14:textId="51686C9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6.839,05</w:t>
            </w:r>
          </w:p>
        </w:tc>
        <w:tc>
          <w:tcPr>
            <w:tcW w:w="1147" w:type="dxa"/>
            <w:noWrap/>
            <w:vAlign w:val="bottom"/>
            <w:hideMark/>
          </w:tcPr>
          <w:p w14:paraId="60DA7AA5" w14:textId="76E4D1F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33,34%</w:t>
            </w:r>
          </w:p>
        </w:tc>
        <w:tc>
          <w:tcPr>
            <w:tcW w:w="1147" w:type="dxa"/>
            <w:noWrap/>
            <w:vAlign w:val="bottom"/>
            <w:hideMark/>
          </w:tcPr>
          <w:p w14:paraId="389FFCDC" w14:textId="43572A26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21C1E9C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CF4053A" w14:textId="40608B57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18797709" w14:textId="5030F44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2.115.178,86</w:t>
            </w:r>
          </w:p>
        </w:tc>
        <w:tc>
          <w:tcPr>
            <w:tcW w:w="1560" w:type="dxa"/>
            <w:noWrap/>
            <w:vAlign w:val="bottom"/>
            <w:hideMark/>
          </w:tcPr>
          <w:p w14:paraId="06D85C81" w14:textId="1C88E80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6.557.455,49</w:t>
            </w:r>
          </w:p>
        </w:tc>
        <w:tc>
          <w:tcPr>
            <w:tcW w:w="1559" w:type="dxa"/>
            <w:noWrap/>
            <w:vAlign w:val="bottom"/>
            <w:hideMark/>
          </w:tcPr>
          <w:p w14:paraId="3561783C" w14:textId="3E0228B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3.989.128,75</w:t>
            </w:r>
          </w:p>
        </w:tc>
        <w:tc>
          <w:tcPr>
            <w:tcW w:w="1499" w:type="dxa"/>
            <w:noWrap/>
            <w:vAlign w:val="bottom"/>
            <w:hideMark/>
          </w:tcPr>
          <w:p w14:paraId="774E788D" w14:textId="1E028B18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3.243.362,90</w:t>
            </w:r>
          </w:p>
        </w:tc>
        <w:tc>
          <w:tcPr>
            <w:tcW w:w="1147" w:type="dxa"/>
            <w:noWrap/>
            <w:vAlign w:val="bottom"/>
            <w:hideMark/>
          </w:tcPr>
          <w:p w14:paraId="1873A280" w14:textId="0313B5C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153,34%</w:t>
            </w:r>
          </w:p>
        </w:tc>
        <w:tc>
          <w:tcPr>
            <w:tcW w:w="1147" w:type="dxa"/>
            <w:noWrap/>
            <w:vAlign w:val="bottom"/>
            <w:hideMark/>
          </w:tcPr>
          <w:p w14:paraId="272DC3EC" w14:textId="24110AE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81,31%</w:t>
            </w:r>
          </w:p>
        </w:tc>
      </w:tr>
      <w:tr w:rsidR="00E22C2A" w:rsidRPr="00A27368" w14:paraId="779981E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7328E93" w14:textId="7683F670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59946CFA" w14:textId="63107FF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63.879,21</w:t>
            </w:r>
          </w:p>
        </w:tc>
        <w:tc>
          <w:tcPr>
            <w:tcW w:w="1560" w:type="dxa"/>
            <w:noWrap/>
            <w:vAlign w:val="bottom"/>
            <w:hideMark/>
          </w:tcPr>
          <w:p w14:paraId="2E2588EA" w14:textId="3CB3406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1024788" w14:textId="4289F54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47.237,50</w:t>
            </w:r>
          </w:p>
        </w:tc>
        <w:tc>
          <w:tcPr>
            <w:tcW w:w="1499" w:type="dxa"/>
            <w:noWrap/>
            <w:vAlign w:val="bottom"/>
            <w:hideMark/>
          </w:tcPr>
          <w:p w14:paraId="7F7F1407" w14:textId="35FCC61B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46.762,50</w:t>
            </w:r>
          </w:p>
        </w:tc>
        <w:tc>
          <w:tcPr>
            <w:tcW w:w="1147" w:type="dxa"/>
            <w:noWrap/>
            <w:vAlign w:val="bottom"/>
            <w:hideMark/>
          </w:tcPr>
          <w:p w14:paraId="493058D6" w14:textId="2E6DB329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73,20%</w:t>
            </w:r>
          </w:p>
        </w:tc>
        <w:tc>
          <w:tcPr>
            <w:tcW w:w="1147" w:type="dxa"/>
            <w:noWrap/>
            <w:vAlign w:val="bottom"/>
            <w:hideMark/>
          </w:tcPr>
          <w:p w14:paraId="5ECCF32A" w14:textId="3C2F26F8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98,99%</w:t>
            </w:r>
          </w:p>
        </w:tc>
      </w:tr>
      <w:tr w:rsidR="00E22C2A" w:rsidRPr="00A27368" w14:paraId="611BCF78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719471E" w14:textId="50039079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411 Materijalna imovina - prirodna bogatstva</w:t>
            </w:r>
          </w:p>
        </w:tc>
        <w:tc>
          <w:tcPr>
            <w:tcW w:w="1565" w:type="dxa"/>
            <w:noWrap/>
            <w:vAlign w:val="bottom"/>
            <w:hideMark/>
          </w:tcPr>
          <w:p w14:paraId="7FCA3FC2" w14:textId="33CA5A7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0CFCEAF8" w14:textId="50BCBE9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DCED860" w14:textId="5FA3087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9" w:type="dxa"/>
            <w:noWrap/>
            <w:vAlign w:val="bottom"/>
            <w:hideMark/>
          </w:tcPr>
          <w:p w14:paraId="634FC220" w14:textId="0C87946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05D72B02" w14:textId="178D9571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2A9995FD" w14:textId="2DAAC301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3C2AF8E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02F31028" w14:textId="440ED7A3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 Nematerijalna imovina</w:t>
            </w:r>
          </w:p>
        </w:tc>
        <w:tc>
          <w:tcPr>
            <w:tcW w:w="1565" w:type="dxa"/>
            <w:noWrap/>
            <w:vAlign w:val="bottom"/>
            <w:hideMark/>
          </w:tcPr>
          <w:p w14:paraId="41BF6EAD" w14:textId="4B635D5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63.879,21</w:t>
            </w:r>
          </w:p>
        </w:tc>
        <w:tc>
          <w:tcPr>
            <w:tcW w:w="1560" w:type="dxa"/>
            <w:noWrap/>
            <w:vAlign w:val="bottom"/>
            <w:hideMark/>
          </w:tcPr>
          <w:p w14:paraId="6805B9C4" w14:textId="2BEF8F5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B479A8" w14:textId="63CE5BB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47.237,50</w:t>
            </w:r>
          </w:p>
        </w:tc>
        <w:tc>
          <w:tcPr>
            <w:tcW w:w="1499" w:type="dxa"/>
            <w:noWrap/>
            <w:vAlign w:val="bottom"/>
            <w:hideMark/>
          </w:tcPr>
          <w:p w14:paraId="2CABF9A0" w14:textId="3607332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46.762,50</w:t>
            </w:r>
          </w:p>
        </w:tc>
        <w:tc>
          <w:tcPr>
            <w:tcW w:w="1147" w:type="dxa"/>
            <w:noWrap/>
            <w:vAlign w:val="bottom"/>
            <w:hideMark/>
          </w:tcPr>
          <w:p w14:paraId="5C942F90" w14:textId="12AB82E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73,20%</w:t>
            </w:r>
          </w:p>
        </w:tc>
        <w:tc>
          <w:tcPr>
            <w:tcW w:w="1147" w:type="dxa"/>
            <w:noWrap/>
            <w:vAlign w:val="bottom"/>
            <w:hideMark/>
          </w:tcPr>
          <w:p w14:paraId="3BF1893F" w14:textId="6E30EF7F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98,99%</w:t>
            </w:r>
          </w:p>
        </w:tc>
      </w:tr>
      <w:tr w:rsidR="00E22C2A" w:rsidRPr="00A27368" w14:paraId="7FA739F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79A6BAF" w14:textId="2AD1811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4126 Ostala nematerijalna imovina</w:t>
            </w:r>
          </w:p>
        </w:tc>
        <w:tc>
          <w:tcPr>
            <w:tcW w:w="1565" w:type="dxa"/>
            <w:noWrap/>
            <w:vAlign w:val="bottom"/>
            <w:hideMark/>
          </w:tcPr>
          <w:p w14:paraId="5A220F42" w14:textId="4253124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63.879,21</w:t>
            </w:r>
          </w:p>
        </w:tc>
        <w:tc>
          <w:tcPr>
            <w:tcW w:w="1560" w:type="dxa"/>
            <w:noWrap/>
            <w:vAlign w:val="bottom"/>
            <w:hideMark/>
          </w:tcPr>
          <w:p w14:paraId="67B04C63" w14:textId="07F1C28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716F6401" w14:textId="60BFA0F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95C65BC" w14:textId="328FC06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46.762,50</w:t>
            </w:r>
          </w:p>
        </w:tc>
        <w:tc>
          <w:tcPr>
            <w:tcW w:w="1147" w:type="dxa"/>
            <w:noWrap/>
            <w:vAlign w:val="bottom"/>
            <w:hideMark/>
          </w:tcPr>
          <w:p w14:paraId="48B7C260" w14:textId="1E5FE23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73,20%</w:t>
            </w:r>
          </w:p>
        </w:tc>
        <w:tc>
          <w:tcPr>
            <w:tcW w:w="1147" w:type="dxa"/>
            <w:noWrap/>
            <w:vAlign w:val="bottom"/>
            <w:hideMark/>
          </w:tcPr>
          <w:p w14:paraId="4CA8B7FD" w14:textId="76F67BC1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2DB486C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D6725B3" w14:textId="6BE26848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65" w:type="dxa"/>
            <w:noWrap/>
            <w:vAlign w:val="bottom"/>
            <w:hideMark/>
          </w:tcPr>
          <w:p w14:paraId="091E18C6" w14:textId="67C771E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100.589,08</w:t>
            </w:r>
          </w:p>
        </w:tc>
        <w:tc>
          <w:tcPr>
            <w:tcW w:w="1560" w:type="dxa"/>
            <w:noWrap/>
            <w:vAlign w:val="bottom"/>
            <w:hideMark/>
          </w:tcPr>
          <w:p w14:paraId="62A9281D" w14:textId="2225083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2.516.455,49</w:t>
            </w:r>
          </w:p>
        </w:tc>
        <w:tc>
          <w:tcPr>
            <w:tcW w:w="1559" w:type="dxa"/>
            <w:noWrap/>
            <w:vAlign w:val="bottom"/>
            <w:hideMark/>
          </w:tcPr>
          <w:p w14:paraId="0E74C59E" w14:textId="1032297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1.190.734,92</w:t>
            </w:r>
          </w:p>
        </w:tc>
        <w:tc>
          <w:tcPr>
            <w:tcW w:w="1499" w:type="dxa"/>
            <w:noWrap/>
            <w:vAlign w:val="bottom"/>
            <w:hideMark/>
          </w:tcPr>
          <w:p w14:paraId="30CDF326" w14:textId="6F6C886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858.141,22</w:t>
            </w:r>
          </w:p>
        </w:tc>
        <w:tc>
          <w:tcPr>
            <w:tcW w:w="1147" w:type="dxa"/>
            <w:noWrap/>
            <w:vAlign w:val="bottom"/>
            <w:hideMark/>
          </w:tcPr>
          <w:p w14:paraId="67F5CDD9" w14:textId="61920FE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853,12%</w:t>
            </w:r>
          </w:p>
        </w:tc>
        <w:tc>
          <w:tcPr>
            <w:tcW w:w="1147" w:type="dxa"/>
            <w:noWrap/>
            <w:vAlign w:val="bottom"/>
            <w:hideMark/>
          </w:tcPr>
          <w:p w14:paraId="5BE6DDE4" w14:textId="3B79F7F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72,07%</w:t>
            </w:r>
          </w:p>
        </w:tc>
      </w:tr>
      <w:tr w:rsidR="00E22C2A" w:rsidRPr="00A27368" w14:paraId="57F1520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17633D8" w14:textId="78184A58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421 Građevinski objekti</w:t>
            </w:r>
          </w:p>
        </w:tc>
        <w:tc>
          <w:tcPr>
            <w:tcW w:w="1565" w:type="dxa"/>
            <w:noWrap/>
            <w:vAlign w:val="bottom"/>
            <w:hideMark/>
          </w:tcPr>
          <w:p w14:paraId="5EAFD2CA" w14:textId="56E909E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63.210,68</w:t>
            </w:r>
          </w:p>
        </w:tc>
        <w:tc>
          <w:tcPr>
            <w:tcW w:w="1560" w:type="dxa"/>
            <w:noWrap/>
            <w:vAlign w:val="bottom"/>
            <w:hideMark/>
          </w:tcPr>
          <w:p w14:paraId="1A3669D3" w14:textId="2DD3AD5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2.475.830,49</w:t>
            </w:r>
          </w:p>
        </w:tc>
        <w:tc>
          <w:tcPr>
            <w:tcW w:w="1559" w:type="dxa"/>
            <w:noWrap/>
            <w:vAlign w:val="bottom"/>
            <w:hideMark/>
          </w:tcPr>
          <w:p w14:paraId="34868058" w14:textId="009B9E3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1.050.022,67</w:t>
            </w:r>
          </w:p>
        </w:tc>
        <w:tc>
          <w:tcPr>
            <w:tcW w:w="1499" w:type="dxa"/>
            <w:noWrap/>
            <w:vAlign w:val="bottom"/>
            <w:hideMark/>
          </w:tcPr>
          <w:p w14:paraId="26F68EC1" w14:textId="6D122F6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749.954,92</w:t>
            </w:r>
          </w:p>
        </w:tc>
        <w:tc>
          <w:tcPr>
            <w:tcW w:w="1147" w:type="dxa"/>
            <w:noWrap/>
            <w:vAlign w:val="bottom"/>
            <w:hideMark/>
          </w:tcPr>
          <w:p w14:paraId="5BCF5356" w14:textId="4402BD2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1186,44%</w:t>
            </w:r>
          </w:p>
        </w:tc>
        <w:tc>
          <w:tcPr>
            <w:tcW w:w="1147" w:type="dxa"/>
            <w:noWrap/>
            <w:vAlign w:val="bottom"/>
            <w:hideMark/>
          </w:tcPr>
          <w:p w14:paraId="3BBCE02F" w14:textId="381FED6B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71,42%</w:t>
            </w:r>
          </w:p>
        </w:tc>
      </w:tr>
      <w:tr w:rsidR="00E22C2A" w:rsidRPr="00A27368" w14:paraId="41C7A235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FE4A00C" w14:textId="3295B9C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4213 Ceste, željeznice i ostali prometni objekti</w:t>
            </w:r>
          </w:p>
        </w:tc>
        <w:tc>
          <w:tcPr>
            <w:tcW w:w="1565" w:type="dxa"/>
            <w:noWrap/>
            <w:vAlign w:val="bottom"/>
            <w:hideMark/>
          </w:tcPr>
          <w:p w14:paraId="60DCCD77" w14:textId="396C6D4C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11C337A8" w14:textId="3505BED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093AF151" w14:textId="38774859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35485644" w14:textId="531F5D0A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17.125,00</w:t>
            </w:r>
          </w:p>
        </w:tc>
        <w:tc>
          <w:tcPr>
            <w:tcW w:w="1147" w:type="dxa"/>
            <w:noWrap/>
            <w:vAlign w:val="bottom"/>
            <w:hideMark/>
          </w:tcPr>
          <w:p w14:paraId="33223E21" w14:textId="623E265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43B64025" w14:textId="2676A84C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DD6805E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22A6B222" w14:textId="03C16D5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4214 Ostali građevinski objekti</w:t>
            </w:r>
          </w:p>
        </w:tc>
        <w:tc>
          <w:tcPr>
            <w:tcW w:w="1565" w:type="dxa"/>
            <w:noWrap/>
            <w:vAlign w:val="bottom"/>
            <w:hideMark/>
          </w:tcPr>
          <w:p w14:paraId="700C84E3" w14:textId="673FCEFC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63.210,68</w:t>
            </w:r>
          </w:p>
        </w:tc>
        <w:tc>
          <w:tcPr>
            <w:tcW w:w="1560" w:type="dxa"/>
            <w:noWrap/>
            <w:vAlign w:val="bottom"/>
            <w:hideMark/>
          </w:tcPr>
          <w:p w14:paraId="2B52DDB2" w14:textId="15F493C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50FB86D" w14:textId="62D536C4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723015E" w14:textId="0D792C22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732.829,92</w:t>
            </w:r>
          </w:p>
        </w:tc>
        <w:tc>
          <w:tcPr>
            <w:tcW w:w="1147" w:type="dxa"/>
            <w:noWrap/>
            <w:vAlign w:val="bottom"/>
            <w:hideMark/>
          </w:tcPr>
          <w:p w14:paraId="44F84FD6" w14:textId="7242633D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1159,35%</w:t>
            </w:r>
          </w:p>
        </w:tc>
        <w:tc>
          <w:tcPr>
            <w:tcW w:w="1147" w:type="dxa"/>
            <w:noWrap/>
            <w:vAlign w:val="bottom"/>
            <w:hideMark/>
          </w:tcPr>
          <w:p w14:paraId="051B92AC" w14:textId="77E5FFC9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2CC7EC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9074C3E" w14:textId="11E15A14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422 Postrojenja i oprema</w:t>
            </w:r>
          </w:p>
        </w:tc>
        <w:tc>
          <w:tcPr>
            <w:tcW w:w="1565" w:type="dxa"/>
            <w:noWrap/>
            <w:vAlign w:val="bottom"/>
            <w:hideMark/>
          </w:tcPr>
          <w:p w14:paraId="2804EC46" w14:textId="54B032ED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22.855,90</w:t>
            </w:r>
          </w:p>
        </w:tc>
        <w:tc>
          <w:tcPr>
            <w:tcW w:w="1560" w:type="dxa"/>
            <w:noWrap/>
            <w:vAlign w:val="bottom"/>
            <w:hideMark/>
          </w:tcPr>
          <w:p w14:paraId="5FE8F5BF" w14:textId="0C0B25C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2882B2" w14:textId="03C78965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60.087,25</w:t>
            </w:r>
          </w:p>
        </w:tc>
        <w:tc>
          <w:tcPr>
            <w:tcW w:w="1499" w:type="dxa"/>
            <w:noWrap/>
            <w:vAlign w:val="bottom"/>
            <w:hideMark/>
          </w:tcPr>
          <w:p w14:paraId="382AA621" w14:textId="129E8AF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60.061,30</w:t>
            </w:r>
          </w:p>
        </w:tc>
        <w:tc>
          <w:tcPr>
            <w:tcW w:w="1147" w:type="dxa"/>
            <w:noWrap/>
            <w:vAlign w:val="bottom"/>
            <w:hideMark/>
          </w:tcPr>
          <w:p w14:paraId="5734140F" w14:textId="2E9104B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262,78%</w:t>
            </w:r>
          </w:p>
        </w:tc>
        <w:tc>
          <w:tcPr>
            <w:tcW w:w="1147" w:type="dxa"/>
            <w:noWrap/>
            <w:vAlign w:val="bottom"/>
            <w:hideMark/>
          </w:tcPr>
          <w:p w14:paraId="03F255A6" w14:textId="0A2344B0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99,96%</w:t>
            </w:r>
          </w:p>
        </w:tc>
      </w:tr>
      <w:tr w:rsidR="00E22C2A" w:rsidRPr="00A27368" w14:paraId="47FCD88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A273D20" w14:textId="7F33289E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4221 Uredska oprema i namještaj</w:t>
            </w:r>
          </w:p>
        </w:tc>
        <w:tc>
          <w:tcPr>
            <w:tcW w:w="1565" w:type="dxa"/>
            <w:noWrap/>
            <w:vAlign w:val="bottom"/>
            <w:hideMark/>
          </w:tcPr>
          <w:p w14:paraId="4E60E95D" w14:textId="63DD11DE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4.174,63</w:t>
            </w:r>
          </w:p>
        </w:tc>
        <w:tc>
          <w:tcPr>
            <w:tcW w:w="1560" w:type="dxa"/>
            <w:noWrap/>
            <w:vAlign w:val="bottom"/>
            <w:hideMark/>
          </w:tcPr>
          <w:p w14:paraId="76E5858D" w14:textId="3303584D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5E415A39" w14:textId="225F55F8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0C2F1B0C" w14:textId="3E71D652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062D42C7" w14:textId="6CF416D8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11676E3D" w14:textId="6B1D54BA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08D2C8A0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A0A8522" w14:textId="747C5374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4223 Oprema za održavanje i zaštitu</w:t>
            </w:r>
          </w:p>
        </w:tc>
        <w:tc>
          <w:tcPr>
            <w:tcW w:w="1565" w:type="dxa"/>
            <w:noWrap/>
            <w:vAlign w:val="bottom"/>
            <w:hideMark/>
          </w:tcPr>
          <w:p w14:paraId="10A25301" w14:textId="220FB81A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6.071,07</w:t>
            </w:r>
          </w:p>
        </w:tc>
        <w:tc>
          <w:tcPr>
            <w:tcW w:w="1560" w:type="dxa"/>
            <w:noWrap/>
            <w:vAlign w:val="bottom"/>
            <w:hideMark/>
          </w:tcPr>
          <w:p w14:paraId="3E57052F" w14:textId="501683BA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B6EC247" w14:textId="0AC85EF3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531FEE57" w14:textId="4D2C731A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9.100,00</w:t>
            </w:r>
          </w:p>
        </w:tc>
        <w:tc>
          <w:tcPr>
            <w:tcW w:w="1147" w:type="dxa"/>
            <w:noWrap/>
            <w:vAlign w:val="bottom"/>
            <w:hideMark/>
          </w:tcPr>
          <w:p w14:paraId="0B076390" w14:textId="25BB6902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149,89%</w:t>
            </w:r>
          </w:p>
        </w:tc>
        <w:tc>
          <w:tcPr>
            <w:tcW w:w="1147" w:type="dxa"/>
            <w:noWrap/>
            <w:vAlign w:val="bottom"/>
            <w:hideMark/>
          </w:tcPr>
          <w:p w14:paraId="35834AA1" w14:textId="21B83610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0988A5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19675634" w14:textId="74903819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565" w:type="dxa"/>
            <w:noWrap/>
            <w:vAlign w:val="bottom"/>
            <w:hideMark/>
          </w:tcPr>
          <w:p w14:paraId="2C62C596" w14:textId="327FE44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12.610,20</w:t>
            </w:r>
          </w:p>
        </w:tc>
        <w:tc>
          <w:tcPr>
            <w:tcW w:w="1560" w:type="dxa"/>
            <w:noWrap/>
            <w:vAlign w:val="bottom"/>
            <w:hideMark/>
          </w:tcPr>
          <w:p w14:paraId="6442C3E9" w14:textId="6F6443F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7062B93A" w14:textId="749036F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668E261" w14:textId="2D9BB9F4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50.961,30</w:t>
            </w:r>
          </w:p>
        </w:tc>
        <w:tc>
          <w:tcPr>
            <w:tcW w:w="1147" w:type="dxa"/>
            <w:noWrap/>
            <w:vAlign w:val="bottom"/>
            <w:hideMark/>
          </w:tcPr>
          <w:p w14:paraId="50C163E7" w14:textId="20239DC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404,13%</w:t>
            </w:r>
          </w:p>
        </w:tc>
        <w:tc>
          <w:tcPr>
            <w:tcW w:w="1147" w:type="dxa"/>
            <w:noWrap/>
            <w:vAlign w:val="bottom"/>
            <w:hideMark/>
          </w:tcPr>
          <w:p w14:paraId="26226565" w14:textId="11695CC0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4234C1FA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6FF08DC" w14:textId="3A6E2BF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423 Prijevozna sredstva</w:t>
            </w:r>
          </w:p>
        </w:tc>
        <w:tc>
          <w:tcPr>
            <w:tcW w:w="1565" w:type="dxa"/>
            <w:noWrap/>
            <w:vAlign w:val="bottom"/>
            <w:hideMark/>
          </w:tcPr>
          <w:p w14:paraId="4103CC0B" w14:textId="486AD1E6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13.900,00</w:t>
            </w:r>
          </w:p>
        </w:tc>
        <w:tc>
          <w:tcPr>
            <w:tcW w:w="1560" w:type="dxa"/>
            <w:noWrap/>
            <w:vAlign w:val="bottom"/>
            <w:hideMark/>
          </w:tcPr>
          <w:p w14:paraId="49B79FF5" w14:textId="45034330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24804B4E" w14:textId="29357217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68D5A5E2" w14:textId="0266942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6749B1EE" w14:textId="656AB9C5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113BE7B5" w14:textId="4A65B586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63C65453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7D0268A3" w14:textId="6551AE34" w:rsidR="00E22C2A" w:rsidRPr="00A27368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4231 Prijevozna sredstva u cestovnom prometu</w:t>
            </w:r>
          </w:p>
        </w:tc>
        <w:tc>
          <w:tcPr>
            <w:tcW w:w="1565" w:type="dxa"/>
            <w:noWrap/>
            <w:vAlign w:val="bottom"/>
            <w:hideMark/>
          </w:tcPr>
          <w:p w14:paraId="607526BB" w14:textId="2EAC28B4" w:rsidR="00E22C2A" w:rsidRPr="00A27368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95BB4F8" w14:textId="1DA23DEF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1E3A4A30" w14:textId="742ECAAB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3D3CE0D7" w14:textId="422201F3" w:rsidR="00E22C2A" w:rsidRPr="00A27368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638A63EE" w14:textId="11D25555" w:rsidR="00E22C2A" w:rsidRPr="00A27368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4F289AC5" w14:textId="4D2061FD" w:rsidR="00E22C2A" w:rsidRPr="00A27368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1DC2B906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4A9DEF69" w14:textId="5B39700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426 Nematerijalna proizvedena imovina</w:t>
            </w:r>
          </w:p>
        </w:tc>
        <w:tc>
          <w:tcPr>
            <w:tcW w:w="1565" w:type="dxa"/>
            <w:noWrap/>
            <w:vAlign w:val="bottom"/>
            <w:hideMark/>
          </w:tcPr>
          <w:p w14:paraId="27F66145" w14:textId="38CFFAC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622,50</w:t>
            </w:r>
          </w:p>
        </w:tc>
        <w:tc>
          <w:tcPr>
            <w:tcW w:w="1560" w:type="dxa"/>
            <w:noWrap/>
            <w:vAlign w:val="bottom"/>
            <w:hideMark/>
          </w:tcPr>
          <w:p w14:paraId="31FE4A8A" w14:textId="7DA6DC9F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30.625,00</w:t>
            </w:r>
          </w:p>
        </w:tc>
        <w:tc>
          <w:tcPr>
            <w:tcW w:w="1559" w:type="dxa"/>
            <w:noWrap/>
            <w:vAlign w:val="bottom"/>
            <w:hideMark/>
          </w:tcPr>
          <w:p w14:paraId="037E6C00" w14:textId="6A9B40C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80.625,00</w:t>
            </w:r>
          </w:p>
        </w:tc>
        <w:tc>
          <w:tcPr>
            <w:tcW w:w="1499" w:type="dxa"/>
            <w:noWrap/>
            <w:vAlign w:val="bottom"/>
            <w:hideMark/>
          </w:tcPr>
          <w:p w14:paraId="2401E3A4" w14:textId="3F03505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48.125,00</w:t>
            </w:r>
          </w:p>
        </w:tc>
        <w:tc>
          <w:tcPr>
            <w:tcW w:w="1147" w:type="dxa"/>
            <w:noWrap/>
            <w:vAlign w:val="bottom"/>
            <w:hideMark/>
          </w:tcPr>
          <w:p w14:paraId="7786C16C" w14:textId="641B2E0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7730,92%</w:t>
            </w:r>
          </w:p>
        </w:tc>
        <w:tc>
          <w:tcPr>
            <w:tcW w:w="1147" w:type="dxa"/>
            <w:noWrap/>
            <w:vAlign w:val="bottom"/>
            <w:hideMark/>
          </w:tcPr>
          <w:p w14:paraId="07B74AF1" w14:textId="7E9B8A9C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59,69%</w:t>
            </w:r>
          </w:p>
        </w:tc>
      </w:tr>
      <w:tr w:rsidR="00E22C2A" w:rsidRPr="00A27368" w14:paraId="23542399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5240DADE" w14:textId="11CBE6DD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4262 Ulaganja u računalne programe</w:t>
            </w:r>
          </w:p>
        </w:tc>
        <w:tc>
          <w:tcPr>
            <w:tcW w:w="1565" w:type="dxa"/>
            <w:noWrap/>
            <w:vAlign w:val="bottom"/>
            <w:hideMark/>
          </w:tcPr>
          <w:p w14:paraId="1D195FA0" w14:textId="628CBB1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622,50</w:t>
            </w:r>
          </w:p>
        </w:tc>
        <w:tc>
          <w:tcPr>
            <w:tcW w:w="1560" w:type="dxa"/>
            <w:noWrap/>
            <w:vAlign w:val="bottom"/>
            <w:hideMark/>
          </w:tcPr>
          <w:p w14:paraId="717642F5" w14:textId="4BF24576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60F395EE" w14:textId="285F8D1F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7BCBBF12" w14:textId="22233115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147" w:type="dxa"/>
            <w:noWrap/>
            <w:vAlign w:val="bottom"/>
            <w:hideMark/>
          </w:tcPr>
          <w:p w14:paraId="526E2028" w14:textId="76345F5A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65D479DE" w14:textId="6A4C613E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75D67C91" w14:textId="77777777" w:rsidTr="005607D7">
        <w:trPr>
          <w:trHeight w:val="255"/>
        </w:trPr>
        <w:tc>
          <w:tcPr>
            <w:tcW w:w="5517" w:type="dxa"/>
            <w:noWrap/>
            <w:vAlign w:val="bottom"/>
            <w:hideMark/>
          </w:tcPr>
          <w:p w14:paraId="6DE67846" w14:textId="3CCE286C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sz w:val="20"/>
                <w:szCs w:val="20"/>
              </w:rPr>
              <w:t>4264 Ostala nematerijalna proizvedena imovina</w:t>
            </w:r>
          </w:p>
        </w:tc>
        <w:tc>
          <w:tcPr>
            <w:tcW w:w="1565" w:type="dxa"/>
            <w:noWrap/>
            <w:vAlign w:val="bottom"/>
            <w:hideMark/>
          </w:tcPr>
          <w:p w14:paraId="3DA11183" w14:textId="4BF18F0D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60" w:type="dxa"/>
            <w:noWrap/>
            <w:vAlign w:val="bottom"/>
            <w:hideMark/>
          </w:tcPr>
          <w:p w14:paraId="6729A0A2" w14:textId="0D09BB12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559" w:type="dxa"/>
            <w:noWrap/>
            <w:vAlign w:val="bottom"/>
            <w:hideMark/>
          </w:tcPr>
          <w:p w14:paraId="43046315" w14:textId="495A50BE" w:rsidR="00E22C2A" w:rsidRPr="00D35656" w:rsidRDefault="00E22C2A" w:rsidP="00E22C2A">
            <w:pPr>
              <w:tabs>
                <w:tab w:val="left" w:pos="4973"/>
              </w:tabs>
              <w:jc w:val="right"/>
            </w:pPr>
          </w:p>
        </w:tc>
        <w:tc>
          <w:tcPr>
            <w:tcW w:w="1499" w:type="dxa"/>
            <w:noWrap/>
            <w:vAlign w:val="bottom"/>
            <w:hideMark/>
          </w:tcPr>
          <w:p w14:paraId="1A59FC9D" w14:textId="28D87380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48.125,00</w:t>
            </w:r>
          </w:p>
        </w:tc>
        <w:tc>
          <w:tcPr>
            <w:tcW w:w="1147" w:type="dxa"/>
            <w:noWrap/>
            <w:vAlign w:val="bottom"/>
            <w:hideMark/>
          </w:tcPr>
          <w:p w14:paraId="093CE0AA" w14:textId="5DAA291E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47" w:type="dxa"/>
            <w:noWrap/>
            <w:vAlign w:val="bottom"/>
            <w:hideMark/>
          </w:tcPr>
          <w:p w14:paraId="7F839420" w14:textId="4984C429" w:rsidR="00E22C2A" w:rsidRPr="00D35656" w:rsidRDefault="00E22C2A" w:rsidP="00E22C2A">
            <w:pPr>
              <w:tabs>
                <w:tab w:val="left" w:pos="4973"/>
              </w:tabs>
              <w:jc w:val="center"/>
            </w:pPr>
          </w:p>
        </w:tc>
      </w:tr>
      <w:tr w:rsidR="00E22C2A" w:rsidRPr="00A27368" w14:paraId="50856EB3" w14:textId="77777777" w:rsidTr="005607D7">
        <w:trPr>
          <w:trHeight w:val="77"/>
        </w:trPr>
        <w:tc>
          <w:tcPr>
            <w:tcW w:w="5517" w:type="dxa"/>
            <w:noWrap/>
            <w:vAlign w:val="bottom"/>
            <w:hideMark/>
          </w:tcPr>
          <w:p w14:paraId="4075CB13" w14:textId="4A5EB40A" w:rsidR="00E22C2A" w:rsidRPr="00D35656" w:rsidRDefault="00E22C2A" w:rsidP="00E22C2A">
            <w:pPr>
              <w:tabs>
                <w:tab w:val="left" w:pos="4973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565" w:type="dxa"/>
            <w:noWrap/>
            <w:vAlign w:val="bottom"/>
            <w:hideMark/>
          </w:tcPr>
          <w:p w14:paraId="01FC703F" w14:textId="2E17E21E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1.950.710,57</w:t>
            </w:r>
          </w:p>
        </w:tc>
        <w:tc>
          <w:tcPr>
            <w:tcW w:w="1560" w:type="dxa"/>
            <w:noWrap/>
            <w:vAlign w:val="bottom"/>
            <w:hideMark/>
          </w:tcPr>
          <w:p w14:paraId="4C6ADA48" w14:textId="73EFB087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3.895.000,00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A44DB3E" w14:textId="2FFACDD9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2.751.156,33</w:t>
            </w:r>
          </w:p>
        </w:tc>
        <w:tc>
          <w:tcPr>
            <w:tcW w:w="1499" w:type="dxa"/>
            <w:noWrap/>
            <w:vAlign w:val="bottom"/>
            <w:hideMark/>
          </w:tcPr>
          <w:p w14:paraId="7E9BB741" w14:textId="7A368891" w:rsidR="00E22C2A" w:rsidRPr="00D35656" w:rsidRDefault="00E22C2A" w:rsidP="00E22C2A">
            <w:pPr>
              <w:tabs>
                <w:tab w:val="left" w:pos="4973"/>
              </w:tabs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2.338.459,18</w:t>
            </w:r>
          </w:p>
        </w:tc>
        <w:tc>
          <w:tcPr>
            <w:tcW w:w="1147" w:type="dxa"/>
            <w:noWrap/>
            <w:vAlign w:val="bottom"/>
            <w:hideMark/>
          </w:tcPr>
          <w:p w14:paraId="36D241BC" w14:textId="49E96E37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119,88%</w:t>
            </w:r>
          </w:p>
        </w:tc>
        <w:tc>
          <w:tcPr>
            <w:tcW w:w="1147" w:type="dxa"/>
            <w:noWrap/>
            <w:vAlign w:val="bottom"/>
            <w:hideMark/>
          </w:tcPr>
          <w:p w14:paraId="3B308C5C" w14:textId="06DEFEE2" w:rsidR="00E22C2A" w:rsidRPr="00D35656" w:rsidRDefault="00E22C2A" w:rsidP="00E22C2A">
            <w:pPr>
              <w:tabs>
                <w:tab w:val="left" w:pos="4973"/>
              </w:tabs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85,00%</w:t>
            </w:r>
          </w:p>
        </w:tc>
      </w:tr>
      <w:tr w:rsidR="00E22C2A" w:rsidRPr="00A27368" w14:paraId="02B1C3A7" w14:textId="77777777" w:rsidTr="005607D7">
        <w:trPr>
          <w:trHeight w:val="77"/>
        </w:trPr>
        <w:tc>
          <w:tcPr>
            <w:tcW w:w="5517" w:type="dxa"/>
            <w:noWrap/>
            <w:vAlign w:val="bottom"/>
          </w:tcPr>
          <w:p w14:paraId="690B4B97" w14:textId="35C666F8" w:rsidR="00E22C2A" w:rsidRDefault="00E22C2A" w:rsidP="00E22C2A">
            <w:pPr>
              <w:tabs>
                <w:tab w:val="left" w:pos="497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451 Dodatna ulaganja na građevinskim objektima</w:t>
            </w:r>
          </w:p>
        </w:tc>
        <w:tc>
          <w:tcPr>
            <w:tcW w:w="1565" w:type="dxa"/>
            <w:noWrap/>
            <w:vAlign w:val="bottom"/>
          </w:tcPr>
          <w:p w14:paraId="715FD291" w14:textId="17690F17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1.950.710,57</w:t>
            </w:r>
          </w:p>
        </w:tc>
        <w:tc>
          <w:tcPr>
            <w:tcW w:w="1560" w:type="dxa"/>
            <w:noWrap/>
            <w:vAlign w:val="bottom"/>
          </w:tcPr>
          <w:p w14:paraId="041E0867" w14:textId="34749469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3.895.000,00</w:t>
            </w:r>
          </w:p>
        </w:tc>
        <w:tc>
          <w:tcPr>
            <w:tcW w:w="1559" w:type="dxa"/>
            <w:noWrap/>
            <w:vAlign w:val="bottom"/>
          </w:tcPr>
          <w:p w14:paraId="0F35177C" w14:textId="776E5CAE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2.751.156,33</w:t>
            </w:r>
          </w:p>
        </w:tc>
        <w:tc>
          <w:tcPr>
            <w:tcW w:w="1499" w:type="dxa"/>
            <w:noWrap/>
            <w:vAlign w:val="bottom"/>
          </w:tcPr>
          <w:p w14:paraId="02D2AF24" w14:textId="5FE66590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2.338.459,18</w:t>
            </w:r>
          </w:p>
        </w:tc>
        <w:tc>
          <w:tcPr>
            <w:tcW w:w="1147" w:type="dxa"/>
            <w:noWrap/>
            <w:vAlign w:val="bottom"/>
          </w:tcPr>
          <w:p w14:paraId="6795A94E" w14:textId="24D323F3" w:rsidR="00E22C2A" w:rsidRDefault="00E22C2A" w:rsidP="00E22C2A">
            <w:pPr>
              <w:tabs>
                <w:tab w:val="left" w:pos="497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119,88%</w:t>
            </w:r>
          </w:p>
        </w:tc>
        <w:tc>
          <w:tcPr>
            <w:tcW w:w="1147" w:type="dxa"/>
            <w:noWrap/>
            <w:vAlign w:val="bottom"/>
          </w:tcPr>
          <w:p w14:paraId="738CFC23" w14:textId="5316E490" w:rsidR="00E22C2A" w:rsidRDefault="00E22C2A" w:rsidP="00E22C2A">
            <w:pPr>
              <w:tabs>
                <w:tab w:val="left" w:pos="497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85,00%</w:t>
            </w:r>
          </w:p>
        </w:tc>
      </w:tr>
      <w:tr w:rsidR="00E22C2A" w:rsidRPr="00A27368" w14:paraId="7EF78911" w14:textId="77777777" w:rsidTr="005607D7">
        <w:trPr>
          <w:trHeight w:val="77"/>
        </w:trPr>
        <w:tc>
          <w:tcPr>
            <w:tcW w:w="5517" w:type="dxa"/>
            <w:noWrap/>
            <w:vAlign w:val="bottom"/>
          </w:tcPr>
          <w:p w14:paraId="19B970EF" w14:textId="304B4680" w:rsidR="00E22C2A" w:rsidRDefault="00E22C2A" w:rsidP="00E22C2A">
            <w:pPr>
              <w:tabs>
                <w:tab w:val="left" w:pos="497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4511 Dodatna ulaganja na građevinskim objektima</w:t>
            </w:r>
          </w:p>
        </w:tc>
        <w:tc>
          <w:tcPr>
            <w:tcW w:w="1565" w:type="dxa"/>
            <w:noWrap/>
            <w:vAlign w:val="bottom"/>
          </w:tcPr>
          <w:p w14:paraId="7A2E5258" w14:textId="52DC5C57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1.950.710,57</w:t>
            </w:r>
          </w:p>
        </w:tc>
        <w:tc>
          <w:tcPr>
            <w:tcW w:w="1560" w:type="dxa"/>
            <w:noWrap/>
            <w:vAlign w:val="bottom"/>
          </w:tcPr>
          <w:p w14:paraId="5E19EBC9" w14:textId="77777777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23775490" w14:textId="77777777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33F3EA49" w14:textId="6ACF4627" w:rsidR="00E22C2A" w:rsidRDefault="00E22C2A" w:rsidP="00E22C2A">
            <w:pPr>
              <w:tabs>
                <w:tab w:val="left" w:pos="497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2.338.459,18</w:t>
            </w:r>
          </w:p>
        </w:tc>
        <w:tc>
          <w:tcPr>
            <w:tcW w:w="1147" w:type="dxa"/>
            <w:noWrap/>
            <w:vAlign w:val="bottom"/>
          </w:tcPr>
          <w:p w14:paraId="2F6FC16C" w14:textId="2CC32A20" w:rsidR="00E22C2A" w:rsidRDefault="00E22C2A" w:rsidP="00E22C2A">
            <w:pPr>
              <w:tabs>
                <w:tab w:val="left" w:pos="497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119,88%</w:t>
            </w:r>
          </w:p>
        </w:tc>
        <w:tc>
          <w:tcPr>
            <w:tcW w:w="1147" w:type="dxa"/>
            <w:noWrap/>
            <w:vAlign w:val="bottom"/>
          </w:tcPr>
          <w:p w14:paraId="6D5C09F9" w14:textId="77777777" w:rsidR="00E22C2A" w:rsidRDefault="00E22C2A" w:rsidP="00E22C2A">
            <w:pPr>
              <w:tabs>
                <w:tab w:val="left" w:pos="497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1E3680" w14:textId="7D862B8B" w:rsidR="00CD59CF" w:rsidRDefault="00CD59CF" w:rsidP="00FE117C">
      <w:pPr>
        <w:tabs>
          <w:tab w:val="left" w:pos="4973"/>
        </w:tabs>
        <w:spacing w:after="0" w:line="240" w:lineRule="auto"/>
        <w:rPr>
          <w:lang w:val="hr-HR"/>
        </w:rPr>
      </w:pPr>
    </w:p>
    <w:p w14:paraId="1F417280" w14:textId="77777777" w:rsidR="00CD59CF" w:rsidRDefault="00CD59CF">
      <w:pPr>
        <w:rPr>
          <w:lang w:val="hr-HR"/>
        </w:rPr>
      </w:pPr>
      <w:r>
        <w:rPr>
          <w:lang w:val="hr-HR"/>
        </w:rPr>
        <w:br w:type="page"/>
      </w:r>
    </w:p>
    <w:p w14:paraId="07DEDAFE" w14:textId="15CB325F" w:rsidR="00A27368" w:rsidRPr="009C646A" w:rsidRDefault="00A27368" w:rsidP="00A27368">
      <w:pPr>
        <w:rPr>
          <w:b/>
          <w:bCs/>
          <w:i/>
          <w:iCs/>
          <w:sz w:val="28"/>
          <w:szCs w:val="28"/>
          <w:u w:val="single"/>
          <w:lang w:val="hr-HR"/>
        </w:rPr>
      </w:pPr>
      <w:r w:rsidRPr="009C646A">
        <w:rPr>
          <w:b/>
          <w:bCs/>
          <w:i/>
          <w:iCs/>
          <w:sz w:val="28"/>
          <w:szCs w:val="28"/>
          <w:u w:val="single"/>
          <w:lang w:val="hr-HR"/>
        </w:rPr>
        <w:lastRenderedPageBreak/>
        <w:t>Obrazloženje prihoda</w:t>
      </w:r>
    </w:p>
    <w:p w14:paraId="62DE2596" w14:textId="002E2D6D" w:rsidR="00A27368" w:rsidRDefault="009B4260" w:rsidP="0015150E">
      <w:pPr>
        <w:jc w:val="both"/>
        <w:rPr>
          <w:lang w:val="hr-HR"/>
        </w:rPr>
      </w:pPr>
      <w:r>
        <w:rPr>
          <w:lang w:val="hr-HR"/>
        </w:rPr>
        <w:t>Ukupni p</w:t>
      </w:r>
      <w:r w:rsidR="00A27368">
        <w:rPr>
          <w:lang w:val="hr-HR"/>
        </w:rPr>
        <w:t xml:space="preserve">rihodi ostvareni u izvještajnom razdoblju </w:t>
      </w:r>
      <w:r w:rsidR="00A513DA">
        <w:rPr>
          <w:lang w:val="hr-HR"/>
        </w:rPr>
        <w:t xml:space="preserve">iznose </w:t>
      </w:r>
      <w:r w:rsidR="009E5308">
        <w:rPr>
          <w:lang w:val="hr-HR"/>
        </w:rPr>
        <w:t xml:space="preserve">4.676.939,13 eura </w:t>
      </w:r>
      <w:r w:rsidR="00A513DA">
        <w:rPr>
          <w:lang w:val="hr-HR"/>
        </w:rPr>
        <w:t xml:space="preserve">i veći </w:t>
      </w:r>
      <w:r>
        <w:rPr>
          <w:lang w:val="hr-HR"/>
        </w:rPr>
        <w:t xml:space="preserve">su za </w:t>
      </w:r>
      <w:r w:rsidR="009E5308">
        <w:rPr>
          <w:lang w:val="hr-HR"/>
        </w:rPr>
        <w:t>35,05</w:t>
      </w:r>
      <w:r>
        <w:rPr>
          <w:lang w:val="hr-HR"/>
        </w:rPr>
        <w:t>% u odnosu na prethodnu, 202</w:t>
      </w:r>
      <w:r w:rsidR="009E5308">
        <w:rPr>
          <w:lang w:val="hr-HR"/>
        </w:rPr>
        <w:t>4</w:t>
      </w:r>
      <w:r>
        <w:rPr>
          <w:lang w:val="hr-HR"/>
        </w:rPr>
        <w:t xml:space="preserve">. godinu. U strukturi prihoda, prihodi poslovanja iznose </w:t>
      </w:r>
      <w:r w:rsidR="009E5308">
        <w:rPr>
          <w:lang w:val="hr-HR"/>
        </w:rPr>
        <w:t>4.591.057,66</w:t>
      </w:r>
      <w:r>
        <w:rPr>
          <w:lang w:val="hr-HR"/>
        </w:rPr>
        <w:t xml:space="preserve"> eura i čine </w:t>
      </w:r>
      <w:r w:rsidR="009E5308">
        <w:rPr>
          <w:lang w:val="hr-HR"/>
        </w:rPr>
        <w:t>98,16</w:t>
      </w:r>
      <w:r>
        <w:rPr>
          <w:lang w:val="hr-HR"/>
        </w:rPr>
        <w:t xml:space="preserve">% ostvarenih prihoda dok su prihodi od prodaje nefinancijske imovine ostvareni u iznosu </w:t>
      </w:r>
      <w:r w:rsidR="009E5308">
        <w:rPr>
          <w:lang w:val="hr-HR"/>
        </w:rPr>
        <w:t xml:space="preserve">85.881,47 </w:t>
      </w:r>
      <w:r>
        <w:rPr>
          <w:lang w:val="hr-HR"/>
        </w:rPr>
        <w:t xml:space="preserve">eura i oni čine udio od </w:t>
      </w:r>
      <w:r w:rsidR="009E5308">
        <w:rPr>
          <w:lang w:val="hr-HR"/>
        </w:rPr>
        <w:t>1,84</w:t>
      </w:r>
      <w:r>
        <w:rPr>
          <w:lang w:val="hr-HR"/>
        </w:rPr>
        <w:t xml:space="preserve">%. </w:t>
      </w:r>
    </w:p>
    <w:p w14:paraId="74170F7D" w14:textId="5DE463DA" w:rsidR="00592DFC" w:rsidRDefault="00592DFC" w:rsidP="0015150E">
      <w:pPr>
        <w:jc w:val="both"/>
        <w:rPr>
          <w:lang w:val="hr-HR"/>
        </w:rPr>
      </w:pPr>
      <w:r w:rsidRPr="007E40CA">
        <w:rPr>
          <w:b/>
          <w:bCs/>
          <w:u w:val="single"/>
          <w:lang w:val="hr-HR"/>
        </w:rPr>
        <w:t>Prihodi od poreza</w:t>
      </w:r>
      <w:r>
        <w:rPr>
          <w:lang w:val="hr-HR"/>
        </w:rPr>
        <w:t xml:space="preserve"> </w:t>
      </w:r>
      <w:r w:rsidR="00AD48BE">
        <w:rPr>
          <w:lang w:val="hr-HR"/>
        </w:rPr>
        <w:t>kao glavni izvor prihoda jedinica lokalne samouprave</w:t>
      </w:r>
      <w:r>
        <w:rPr>
          <w:lang w:val="hr-HR"/>
        </w:rPr>
        <w:t xml:space="preserve"> ostvareni </w:t>
      </w:r>
      <w:r w:rsidR="00AD48BE">
        <w:rPr>
          <w:lang w:val="hr-HR"/>
        </w:rPr>
        <w:t>su u</w:t>
      </w:r>
      <w:r>
        <w:rPr>
          <w:lang w:val="hr-HR"/>
        </w:rPr>
        <w:t xml:space="preserve"> iznos</w:t>
      </w:r>
      <w:r w:rsidR="00AD48BE">
        <w:rPr>
          <w:lang w:val="hr-HR"/>
        </w:rPr>
        <w:t>u</w:t>
      </w:r>
      <w:r>
        <w:rPr>
          <w:lang w:val="hr-HR"/>
        </w:rPr>
        <w:t xml:space="preserve"> </w:t>
      </w:r>
      <w:r w:rsidR="009E5308">
        <w:rPr>
          <w:lang w:val="hr-HR"/>
        </w:rPr>
        <w:t>1.584.606,66</w:t>
      </w:r>
      <w:r>
        <w:rPr>
          <w:lang w:val="hr-HR"/>
        </w:rPr>
        <w:t xml:space="preserve"> eura i veći su za </w:t>
      </w:r>
      <w:r w:rsidR="009E5308">
        <w:rPr>
          <w:lang w:val="hr-HR"/>
        </w:rPr>
        <w:t>13,19</w:t>
      </w:r>
      <w:r>
        <w:rPr>
          <w:lang w:val="hr-HR"/>
        </w:rPr>
        <w:t xml:space="preserve">% u odnosu na prethodnu godinu. </w:t>
      </w:r>
      <w:r w:rsidR="006E4A29">
        <w:rPr>
          <w:lang w:val="hr-HR"/>
        </w:rPr>
        <w:t xml:space="preserve">Najveći dio prihoda od poreza se odnosi na </w:t>
      </w:r>
      <w:r w:rsidR="006E4A29" w:rsidRPr="007E40CA">
        <w:rPr>
          <w:i/>
          <w:iCs/>
          <w:u w:val="single"/>
          <w:lang w:val="hr-HR"/>
        </w:rPr>
        <w:t>prihode od poreza i prireza na dohodak</w:t>
      </w:r>
      <w:r w:rsidR="006E4A29">
        <w:rPr>
          <w:lang w:val="hr-HR"/>
        </w:rPr>
        <w:t xml:space="preserve"> </w:t>
      </w:r>
      <w:r w:rsidR="00D80A7A">
        <w:rPr>
          <w:lang w:val="hr-HR"/>
        </w:rPr>
        <w:t>1.476.749,59</w:t>
      </w:r>
      <w:r w:rsidR="006E4A29">
        <w:rPr>
          <w:lang w:val="hr-HR"/>
        </w:rPr>
        <w:t xml:space="preserve"> eura koji su za </w:t>
      </w:r>
      <w:r w:rsidR="00D80A7A">
        <w:rPr>
          <w:lang w:val="hr-HR"/>
        </w:rPr>
        <w:t>9,55</w:t>
      </w:r>
      <w:r w:rsidR="006E4A29">
        <w:rPr>
          <w:lang w:val="hr-HR"/>
        </w:rPr>
        <w:t>% veći od ostvarenih prihoda od poreza i prireza na dohodak u 202</w:t>
      </w:r>
      <w:r w:rsidR="00D80A7A">
        <w:rPr>
          <w:lang w:val="hr-HR"/>
        </w:rPr>
        <w:t>4</w:t>
      </w:r>
      <w:r w:rsidR="006E4A29">
        <w:rPr>
          <w:lang w:val="hr-HR"/>
        </w:rPr>
        <w:t>. godini. Porez na dohodak je zajednički prihod općine 74%, županije</w:t>
      </w:r>
      <w:r w:rsidR="00BC1778">
        <w:rPr>
          <w:lang w:val="hr-HR"/>
        </w:rPr>
        <w:t xml:space="preserve"> </w:t>
      </w:r>
      <w:r w:rsidR="006E4A29">
        <w:rPr>
          <w:lang w:val="hr-HR"/>
        </w:rPr>
        <w:t xml:space="preserve">20% i decentralizirane funkcije 6%. </w:t>
      </w:r>
      <w:r w:rsidR="006E4A29" w:rsidRPr="007E40CA">
        <w:rPr>
          <w:i/>
          <w:iCs/>
          <w:u w:val="single"/>
          <w:lang w:val="hr-HR"/>
        </w:rPr>
        <w:t>Prihodi od poreza na imovinu</w:t>
      </w:r>
      <w:r w:rsidR="006E4A29">
        <w:rPr>
          <w:lang w:val="hr-HR"/>
        </w:rPr>
        <w:t xml:space="preserve"> (porez na </w:t>
      </w:r>
      <w:r w:rsidR="00D80A7A">
        <w:rPr>
          <w:lang w:val="hr-HR"/>
        </w:rPr>
        <w:t>nekretnine</w:t>
      </w:r>
      <w:r w:rsidR="006E4A29">
        <w:rPr>
          <w:lang w:val="hr-HR"/>
        </w:rPr>
        <w:t xml:space="preserve"> i porez na promet nekretnina) ostvareni su u iznosu </w:t>
      </w:r>
      <w:r w:rsidR="00D80A7A">
        <w:rPr>
          <w:lang w:val="hr-HR"/>
        </w:rPr>
        <w:t>82.296,10</w:t>
      </w:r>
      <w:r w:rsidR="006E4A29">
        <w:rPr>
          <w:lang w:val="hr-HR"/>
        </w:rPr>
        <w:t xml:space="preserve"> eura, a to je za </w:t>
      </w:r>
      <w:r w:rsidR="00D80A7A">
        <w:rPr>
          <w:lang w:val="hr-HR"/>
        </w:rPr>
        <w:t>292,86</w:t>
      </w:r>
      <w:r w:rsidR="006E4A29">
        <w:rPr>
          <w:lang w:val="hr-HR"/>
        </w:rPr>
        <w:t xml:space="preserve">% </w:t>
      </w:r>
      <w:r w:rsidR="00D80A7A">
        <w:rPr>
          <w:lang w:val="hr-HR"/>
        </w:rPr>
        <w:t>više</w:t>
      </w:r>
      <w:r w:rsidR="006E4A29">
        <w:rPr>
          <w:lang w:val="hr-HR"/>
        </w:rPr>
        <w:t xml:space="preserve"> nego u prethodnoj godini.</w:t>
      </w:r>
      <w:r w:rsidR="00D80A7A">
        <w:rPr>
          <w:lang w:val="hr-HR"/>
        </w:rPr>
        <w:t xml:space="preserve"> Razlika je u uvedenom porezu na nekretnine koji se obračunava od 2025. godine te povećanog interesa za kupnju nekretnina na području Općine Dubrava.</w:t>
      </w:r>
      <w:r w:rsidR="007E40CA">
        <w:rPr>
          <w:lang w:val="hr-HR"/>
        </w:rPr>
        <w:t xml:space="preserve"> </w:t>
      </w:r>
      <w:r w:rsidR="007E40CA" w:rsidRPr="007E40CA">
        <w:rPr>
          <w:i/>
          <w:iCs/>
          <w:u w:val="single"/>
          <w:lang w:val="hr-HR"/>
        </w:rPr>
        <w:t>Prihodi od poreza na robe i usluge</w:t>
      </w:r>
      <w:r w:rsidR="007E40CA">
        <w:rPr>
          <w:lang w:val="hr-HR"/>
        </w:rPr>
        <w:t xml:space="preserve"> koji obuhvaća porez na potrošnju 3% te porez na tvrtku (ukinut ali se naplaćuju stara potraživanja) ostvaren je u vrijednosti </w:t>
      </w:r>
      <w:r w:rsidR="00D80A7A">
        <w:rPr>
          <w:lang w:val="hr-HR"/>
        </w:rPr>
        <w:t>25.560,97</w:t>
      </w:r>
      <w:r w:rsidR="007E40CA">
        <w:rPr>
          <w:lang w:val="hr-HR"/>
        </w:rPr>
        <w:t xml:space="preserve"> eura i veći je za </w:t>
      </w:r>
      <w:r w:rsidR="00D80A7A">
        <w:rPr>
          <w:lang w:val="hr-HR"/>
        </w:rPr>
        <w:t>6,80</w:t>
      </w:r>
      <w:r w:rsidR="007E40CA">
        <w:rPr>
          <w:lang w:val="hr-HR"/>
        </w:rPr>
        <w:t>% od ostvarenog u 202</w:t>
      </w:r>
      <w:r w:rsidR="00D80A7A">
        <w:rPr>
          <w:lang w:val="hr-HR"/>
        </w:rPr>
        <w:t>4</w:t>
      </w:r>
      <w:r w:rsidR="007E40CA">
        <w:rPr>
          <w:lang w:val="hr-HR"/>
        </w:rPr>
        <w:t>. godini.</w:t>
      </w:r>
    </w:p>
    <w:p w14:paraId="56F145ED" w14:textId="74EA2E15" w:rsidR="00A25823" w:rsidRDefault="007E40CA" w:rsidP="0015150E">
      <w:pPr>
        <w:jc w:val="both"/>
        <w:rPr>
          <w:lang w:val="hr-HR"/>
        </w:rPr>
      </w:pPr>
      <w:r w:rsidRPr="00A25823">
        <w:rPr>
          <w:b/>
          <w:bCs/>
          <w:u w:val="single"/>
          <w:lang w:val="hr-HR"/>
        </w:rPr>
        <w:t>Pomoći iz inozemstva i od subjekata unutar općeg proračuna</w:t>
      </w:r>
      <w:r>
        <w:rPr>
          <w:lang w:val="hr-HR"/>
        </w:rPr>
        <w:t xml:space="preserve"> ostvarene su u iznosu od </w:t>
      </w:r>
      <w:r w:rsidR="00D80A7A">
        <w:rPr>
          <w:lang w:val="hr-HR"/>
        </w:rPr>
        <w:t>2.737.189,99</w:t>
      </w:r>
      <w:r>
        <w:rPr>
          <w:lang w:val="hr-HR"/>
        </w:rPr>
        <w:t xml:space="preserve"> eura što je za </w:t>
      </w:r>
      <w:r w:rsidR="009956BD">
        <w:rPr>
          <w:lang w:val="hr-HR"/>
        </w:rPr>
        <w:t>51,63</w:t>
      </w:r>
      <w:r>
        <w:rPr>
          <w:lang w:val="hr-HR"/>
        </w:rPr>
        <w:t xml:space="preserve">% </w:t>
      </w:r>
      <w:r w:rsidR="00BC1778">
        <w:rPr>
          <w:lang w:val="hr-HR"/>
        </w:rPr>
        <w:t>više</w:t>
      </w:r>
      <w:r>
        <w:rPr>
          <w:lang w:val="hr-HR"/>
        </w:rPr>
        <w:t xml:space="preserve"> nego prethodne godine</w:t>
      </w:r>
      <w:r w:rsidR="00A25823">
        <w:rPr>
          <w:lang w:val="hr-HR"/>
        </w:rPr>
        <w:t xml:space="preserve">. Najznačajniji dio unutar pomoći iz inozemstva i od subjekata općeg proračuna se odnosi na </w:t>
      </w:r>
      <w:r w:rsidR="00A25823" w:rsidRPr="00A25823">
        <w:rPr>
          <w:i/>
          <w:iCs/>
          <w:u w:val="single"/>
          <w:lang w:val="hr-HR"/>
        </w:rPr>
        <w:t>pomoći proračunu iz drugih proračuna</w:t>
      </w:r>
      <w:r w:rsidR="00A25823">
        <w:rPr>
          <w:lang w:val="hr-HR"/>
        </w:rPr>
        <w:t xml:space="preserve"> i to </w:t>
      </w:r>
      <w:r w:rsidR="009956BD">
        <w:rPr>
          <w:lang w:val="hr-HR"/>
        </w:rPr>
        <w:t>740.875,89</w:t>
      </w:r>
      <w:r w:rsidR="00A25823">
        <w:rPr>
          <w:lang w:val="hr-HR"/>
        </w:rPr>
        <w:t xml:space="preserve"> eura što je za </w:t>
      </w:r>
      <w:r w:rsidR="009956BD">
        <w:rPr>
          <w:lang w:val="hr-HR"/>
        </w:rPr>
        <w:t>43,22</w:t>
      </w:r>
      <w:r w:rsidR="00A25823">
        <w:rPr>
          <w:lang w:val="hr-HR"/>
        </w:rPr>
        <w:t xml:space="preserve">% </w:t>
      </w:r>
      <w:r w:rsidR="009956BD">
        <w:rPr>
          <w:lang w:val="hr-HR"/>
        </w:rPr>
        <w:t xml:space="preserve">pomoći </w:t>
      </w:r>
      <w:r w:rsidR="00A25823">
        <w:rPr>
          <w:lang w:val="hr-HR"/>
        </w:rPr>
        <w:t>ostvaren</w:t>
      </w:r>
      <w:r w:rsidR="009956BD">
        <w:rPr>
          <w:lang w:val="hr-HR"/>
        </w:rPr>
        <w:t>ih</w:t>
      </w:r>
      <w:r w:rsidR="00A25823">
        <w:rPr>
          <w:lang w:val="hr-HR"/>
        </w:rPr>
        <w:t xml:space="preserve"> u prethodnoj godini.</w:t>
      </w:r>
      <w:r w:rsidR="009956BD">
        <w:rPr>
          <w:lang w:val="hr-HR"/>
        </w:rPr>
        <w:t xml:space="preserve"> Razlika je takva zbog izdvojenog načina prikazivanja pomoći od fiskalnog izravnanja koje su u 2025. godini ostvarene u iznosu 999.552,90 eura. </w:t>
      </w:r>
      <w:r w:rsidR="00A25823">
        <w:rPr>
          <w:lang w:val="hr-HR"/>
        </w:rPr>
        <w:t xml:space="preserve"> </w:t>
      </w:r>
      <w:r w:rsidR="00A25823" w:rsidRPr="00A25823">
        <w:rPr>
          <w:i/>
          <w:iCs/>
          <w:u w:val="single"/>
          <w:lang w:val="hr-HR"/>
        </w:rPr>
        <w:t>Pomoći temeljem prijenosa EU sredstava</w:t>
      </w:r>
      <w:r w:rsidR="00A25823">
        <w:rPr>
          <w:lang w:val="hr-HR"/>
        </w:rPr>
        <w:t xml:space="preserve"> realizirane su u iznosu </w:t>
      </w:r>
      <w:r w:rsidR="009956BD">
        <w:rPr>
          <w:lang w:val="hr-HR"/>
        </w:rPr>
        <w:t>996.761,20</w:t>
      </w:r>
      <w:r w:rsidR="00A25823">
        <w:rPr>
          <w:lang w:val="hr-HR"/>
        </w:rPr>
        <w:t xml:space="preserve"> eura i </w:t>
      </w:r>
      <w:r w:rsidR="00BC1778">
        <w:rPr>
          <w:lang w:val="hr-HR"/>
        </w:rPr>
        <w:t>veće</w:t>
      </w:r>
      <w:r w:rsidR="00A25823">
        <w:rPr>
          <w:lang w:val="hr-HR"/>
        </w:rPr>
        <w:t xml:space="preserve"> su za </w:t>
      </w:r>
      <w:r w:rsidR="009956BD">
        <w:rPr>
          <w:lang w:val="hr-HR"/>
        </w:rPr>
        <w:t>1.</w:t>
      </w:r>
      <w:r w:rsidR="00913A0A">
        <w:rPr>
          <w:lang w:val="hr-HR"/>
        </w:rPr>
        <w:t>5</w:t>
      </w:r>
      <w:r w:rsidR="009956BD">
        <w:rPr>
          <w:lang w:val="hr-HR"/>
        </w:rPr>
        <w:t>20,83</w:t>
      </w:r>
      <w:r w:rsidR="00A25823">
        <w:rPr>
          <w:lang w:val="hr-HR"/>
        </w:rPr>
        <w:t xml:space="preserve">% nego u prethodnoj godini iz razloga što </w:t>
      </w:r>
      <w:r w:rsidR="00BC1778">
        <w:rPr>
          <w:lang w:val="hr-HR"/>
        </w:rPr>
        <w:t xml:space="preserve">je </w:t>
      </w:r>
      <w:r w:rsidR="009956BD">
        <w:rPr>
          <w:lang w:val="hr-HR"/>
        </w:rPr>
        <w:t xml:space="preserve">u 2025. godini </w:t>
      </w:r>
      <w:r w:rsidR="00BC1778">
        <w:rPr>
          <w:lang w:val="hr-HR"/>
        </w:rPr>
        <w:t xml:space="preserve">općina Dubrava ostvarila financiranje </w:t>
      </w:r>
      <w:r w:rsidR="009956BD">
        <w:rPr>
          <w:lang w:val="hr-HR"/>
        </w:rPr>
        <w:t>projekta Rekonstrukcija i dogradnja dječjeg vrtića od Agencije za plaćanja u poljoprivredi, ribarstvu i ruralnom razvoju</w:t>
      </w:r>
      <w:r w:rsidR="00A25823">
        <w:rPr>
          <w:lang w:val="hr-HR"/>
        </w:rPr>
        <w:t xml:space="preserve">. </w:t>
      </w:r>
    </w:p>
    <w:p w14:paraId="01147443" w14:textId="0C375635" w:rsidR="00A25823" w:rsidRPr="00D84E5D" w:rsidRDefault="00A25823" w:rsidP="0015150E">
      <w:pPr>
        <w:jc w:val="both"/>
        <w:rPr>
          <w:rFonts w:cstheme="minorHAnsi"/>
          <w:lang w:val="hr-HR"/>
        </w:rPr>
      </w:pPr>
      <w:r>
        <w:rPr>
          <w:lang w:val="hr-HR"/>
        </w:rPr>
        <w:t>Prema izvorima financiranja i namjeni pomoći iz inozemstva i od subjekata unutar općeg proračuna ostvareni su sljedeći prihodi:</w:t>
      </w:r>
    </w:p>
    <w:p w14:paraId="68F9016C" w14:textId="1E5E8DFE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– Fiskalno izravnanje </w:t>
      </w:r>
      <w:r w:rsidR="009956BD">
        <w:rPr>
          <w:lang w:val="hr-HR"/>
        </w:rPr>
        <w:t>999.552,90</w:t>
      </w:r>
      <w:r w:rsidRPr="00BC1778">
        <w:rPr>
          <w:lang w:val="hr-HR"/>
        </w:rPr>
        <w:t xml:space="preserve"> eur</w:t>
      </w:r>
      <w:r w:rsidR="009956BD">
        <w:rPr>
          <w:lang w:val="hr-HR"/>
        </w:rPr>
        <w:t>a</w:t>
      </w:r>
    </w:p>
    <w:p w14:paraId="33B88AA4" w14:textId="189D9662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– </w:t>
      </w:r>
      <w:r w:rsidR="00CD59CF" w:rsidRPr="00BC1778">
        <w:rPr>
          <w:lang w:val="hr-HR"/>
        </w:rPr>
        <w:t xml:space="preserve">Fiskalna održivost Dječjih vrtića </w:t>
      </w:r>
      <w:r w:rsidR="00CD59CF">
        <w:rPr>
          <w:lang w:val="hr-HR"/>
        </w:rPr>
        <w:t xml:space="preserve">152.964,00 </w:t>
      </w:r>
      <w:r w:rsidR="00CD59CF" w:rsidRPr="00BC1778">
        <w:rPr>
          <w:lang w:val="hr-HR"/>
        </w:rPr>
        <w:t>eura</w:t>
      </w:r>
    </w:p>
    <w:p w14:paraId="49AB7977" w14:textId="2DCCECCA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– </w:t>
      </w:r>
      <w:r w:rsidR="00CD59CF">
        <w:rPr>
          <w:lang w:val="hr-HR"/>
        </w:rPr>
        <w:t>Ministarstvo poljoprivrede, mjera za mlade 32.082,63 eura</w:t>
      </w:r>
    </w:p>
    <w:p w14:paraId="525F936F" w14:textId="12AEEC65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</w:t>
      </w:r>
      <w:r w:rsidR="00CD59CF">
        <w:rPr>
          <w:lang w:val="hr-HR"/>
        </w:rPr>
        <w:t>– Prekogranična suradnja, park Šanac – 32.638,73 eura</w:t>
      </w:r>
    </w:p>
    <w:p w14:paraId="37A7F4EC" w14:textId="5802EF3D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– </w:t>
      </w:r>
      <w:r w:rsidR="00CD59CF">
        <w:rPr>
          <w:lang w:val="hr-HR"/>
        </w:rPr>
        <w:t>MPGI, ugradnja sustava navodnjavanja nogometnog terena NK Dubrava 46.400,00 eura</w:t>
      </w:r>
    </w:p>
    <w:p w14:paraId="416BD548" w14:textId="5A5698B5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– </w:t>
      </w:r>
      <w:r w:rsidR="00CD59CF">
        <w:rPr>
          <w:lang w:val="hr-HR"/>
        </w:rPr>
        <w:t>MDU, izgradnja i opremanje igrališta Zvekovac 23.583,69 eura</w:t>
      </w:r>
    </w:p>
    <w:p w14:paraId="60E1F2F0" w14:textId="786C39C5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– </w:t>
      </w:r>
      <w:r w:rsidR="00CD59CF">
        <w:rPr>
          <w:lang w:val="hr-HR"/>
        </w:rPr>
        <w:t>MDU, opremanje dječjeg vrtića 18.286,44 eura</w:t>
      </w:r>
    </w:p>
    <w:p w14:paraId="5731BB7A" w14:textId="69F1741E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Državni proračun – </w:t>
      </w:r>
      <w:r w:rsidR="00CD59CF" w:rsidRPr="00BC1778">
        <w:rPr>
          <w:lang w:val="hr-HR"/>
        </w:rPr>
        <w:t xml:space="preserve">Održavanje male škole i za djecu s teškoćama u razvoju </w:t>
      </w:r>
      <w:r w:rsidR="00CD59CF">
        <w:rPr>
          <w:lang w:val="hr-HR"/>
        </w:rPr>
        <w:t xml:space="preserve">9.683,90 </w:t>
      </w:r>
      <w:r w:rsidR="00CD59CF" w:rsidRPr="00BC1778">
        <w:rPr>
          <w:lang w:val="hr-HR"/>
        </w:rPr>
        <w:t>eura</w:t>
      </w:r>
    </w:p>
    <w:p w14:paraId="29F20C71" w14:textId="7534AF18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>Državni proračun</w:t>
      </w:r>
      <w:r w:rsidR="00CD59CF">
        <w:rPr>
          <w:lang w:val="hr-HR"/>
        </w:rPr>
        <w:t xml:space="preserve"> temeljem prijenosa EU sredstava</w:t>
      </w:r>
      <w:r w:rsidRPr="00BC1778">
        <w:rPr>
          <w:lang w:val="hr-HR"/>
        </w:rPr>
        <w:t xml:space="preserve"> – </w:t>
      </w:r>
      <w:r w:rsidR="00CD59CF">
        <w:rPr>
          <w:lang w:val="hr-HR"/>
        </w:rPr>
        <w:t>APPRRR za rekonstrukciju i dogradnju dječjeg vrtića 996.761,20 eura</w:t>
      </w:r>
    </w:p>
    <w:p w14:paraId="2CE02569" w14:textId="7979C3E9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Provedba kontrole populacije napuštenih pasa </w:t>
      </w:r>
      <w:r w:rsidR="00CD59CF">
        <w:rPr>
          <w:lang w:val="hr-HR"/>
        </w:rPr>
        <w:t xml:space="preserve">948,47 </w:t>
      </w:r>
      <w:r w:rsidRPr="00BC1778">
        <w:rPr>
          <w:lang w:val="hr-HR"/>
        </w:rPr>
        <w:t>eura</w:t>
      </w:r>
    </w:p>
    <w:p w14:paraId="2E07FED1" w14:textId="05C09AE6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</w:t>
      </w:r>
      <w:r w:rsidR="00CD59CF" w:rsidRPr="00BC1778">
        <w:rPr>
          <w:lang w:val="hr-HR"/>
        </w:rPr>
        <w:t xml:space="preserve">Manifestacija DubravaFest </w:t>
      </w:r>
      <w:r w:rsidR="00CD59CF">
        <w:rPr>
          <w:lang w:val="hr-HR"/>
        </w:rPr>
        <w:t xml:space="preserve">5.000,00 </w:t>
      </w:r>
      <w:r w:rsidR="00CD59CF" w:rsidRPr="00BC1778">
        <w:rPr>
          <w:lang w:val="hr-HR"/>
        </w:rPr>
        <w:t>eura</w:t>
      </w:r>
    </w:p>
    <w:p w14:paraId="03C77152" w14:textId="504DF855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</w:t>
      </w:r>
      <w:r w:rsidR="00CD59CF" w:rsidRPr="00BC1778">
        <w:rPr>
          <w:lang w:val="hr-HR"/>
        </w:rPr>
        <w:t xml:space="preserve">Razvoj poduzetničke zone Berek </w:t>
      </w:r>
      <w:r w:rsidR="00CD59CF">
        <w:rPr>
          <w:lang w:val="hr-HR"/>
        </w:rPr>
        <w:t>150</w:t>
      </w:r>
      <w:r w:rsidR="00CD59CF" w:rsidRPr="00BC1778">
        <w:rPr>
          <w:lang w:val="hr-HR"/>
        </w:rPr>
        <w:t>.000,00 eura</w:t>
      </w:r>
    </w:p>
    <w:p w14:paraId="1552FEA7" w14:textId="44971317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lastRenderedPageBreak/>
        <w:t xml:space="preserve">Županijski proračun – </w:t>
      </w:r>
      <w:r w:rsidR="00CD59CF" w:rsidRPr="00BC1778">
        <w:rPr>
          <w:lang w:val="hr-HR"/>
        </w:rPr>
        <w:t xml:space="preserve">Potpora za izradu projektne dokumentacije </w:t>
      </w:r>
      <w:r w:rsidR="00CD59CF">
        <w:rPr>
          <w:lang w:val="hr-HR"/>
        </w:rPr>
        <w:t xml:space="preserve">DVD Zvekovac 9.000,00 </w:t>
      </w:r>
      <w:r w:rsidR="00CD59CF" w:rsidRPr="00BC1778">
        <w:rPr>
          <w:lang w:val="hr-HR"/>
        </w:rPr>
        <w:t>eura</w:t>
      </w:r>
    </w:p>
    <w:p w14:paraId="2C00186C" w14:textId="273F9FAD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</w:t>
      </w:r>
      <w:r w:rsidR="00CD59CF" w:rsidRPr="00BC1778">
        <w:rPr>
          <w:lang w:val="hr-HR"/>
        </w:rPr>
        <w:t>Potpora za izradu projektne dokumentacije</w:t>
      </w:r>
      <w:r w:rsidR="00CD59CF">
        <w:rPr>
          <w:lang w:val="hr-HR"/>
        </w:rPr>
        <w:t xml:space="preserve"> nogostup Radnička 1. faza 10.000,00</w:t>
      </w:r>
      <w:r w:rsidR="00CD59CF" w:rsidRPr="00BC1778">
        <w:rPr>
          <w:lang w:val="hr-HR"/>
        </w:rPr>
        <w:t xml:space="preserve"> eura</w:t>
      </w:r>
    </w:p>
    <w:p w14:paraId="1AB5B337" w14:textId="7BCB3C9D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</w:t>
      </w:r>
      <w:r w:rsidR="00CD59CF" w:rsidRPr="00BC1778">
        <w:rPr>
          <w:lang w:val="hr-HR"/>
        </w:rPr>
        <w:t>Potpora za izradu projektne dokumentacije</w:t>
      </w:r>
      <w:r w:rsidR="00CD59CF">
        <w:rPr>
          <w:lang w:val="hr-HR"/>
        </w:rPr>
        <w:t xml:space="preserve"> nogostup Radnička 2. faza 10.000,00</w:t>
      </w:r>
      <w:r w:rsidR="00CD59CF" w:rsidRPr="00BC1778">
        <w:rPr>
          <w:lang w:val="hr-HR"/>
        </w:rPr>
        <w:t xml:space="preserve"> eura</w:t>
      </w:r>
    </w:p>
    <w:p w14:paraId="47A8FF80" w14:textId="4A5F70DB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</w:t>
      </w:r>
      <w:r w:rsidR="00CD59CF" w:rsidRPr="00BC1778">
        <w:rPr>
          <w:lang w:val="hr-HR"/>
        </w:rPr>
        <w:t>Sufinanciranje predškolskog odgoja</w:t>
      </w:r>
      <w:r w:rsidR="00CD59CF">
        <w:rPr>
          <w:lang w:val="hr-HR"/>
        </w:rPr>
        <w:t xml:space="preserve"> 86.137,64</w:t>
      </w:r>
      <w:r w:rsidR="00CD59CF" w:rsidRPr="00BC1778">
        <w:rPr>
          <w:lang w:val="hr-HR"/>
        </w:rPr>
        <w:t xml:space="preserve"> eura</w:t>
      </w:r>
    </w:p>
    <w:p w14:paraId="395EA605" w14:textId="4A7C7D3E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</w:t>
      </w:r>
      <w:r w:rsidR="00CD59CF" w:rsidRPr="00BC1778">
        <w:rPr>
          <w:lang w:val="hr-HR"/>
        </w:rPr>
        <w:t xml:space="preserve">Ograda Mjesno groblje u Dubravi </w:t>
      </w:r>
      <w:r w:rsidR="00CD59CF">
        <w:rPr>
          <w:lang w:val="hr-HR"/>
        </w:rPr>
        <w:t xml:space="preserve">2. faza 40.487,00 </w:t>
      </w:r>
      <w:r w:rsidR="00CD59CF" w:rsidRPr="00BC1778">
        <w:rPr>
          <w:lang w:val="hr-HR"/>
        </w:rPr>
        <w:t>eura</w:t>
      </w:r>
    </w:p>
    <w:p w14:paraId="7F13E375" w14:textId="7B575232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</w:t>
      </w:r>
      <w:r w:rsidR="00CD59CF">
        <w:rPr>
          <w:lang w:val="hr-HR"/>
        </w:rPr>
        <w:t>Razvoj prometne infrastrukture, asfaltiranje 70.000,00 eura</w:t>
      </w:r>
    </w:p>
    <w:p w14:paraId="5426BDF9" w14:textId="025D8EBD" w:rsidR="00BC1778" w:rsidRPr="00BC1778" w:rsidRDefault="00BC1778" w:rsidP="00BC1778">
      <w:pPr>
        <w:spacing w:after="0"/>
        <w:jc w:val="both"/>
        <w:rPr>
          <w:lang w:val="hr-HR"/>
        </w:rPr>
      </w:pPr>
      <w:r w:rsidRPr="00BC1778">
        <w:rPr>
          <w:lang w:val="hr-HR"/>
        </w:rPr>
        <w:t xml:space="preserve">Županijski proračun – Održavanje izbora </w:t>
      </w:r>
      <w:r w:rsidR="00CD59CF">
        <w:rPr>
          <w:lang w:val="hr-HR"/>
        </w:rPr>
        <w:t xml:space="preserve">43.663,39 </w:t>
      </w:r>
      <w:r w:rsidRPr="00BC1778">
        <w:rPr>
          <w:lang w:val="hr-HR"/>
        </w:rPr>
        <w:t>eura</w:t>
      </w:r>
    </w:p>
    <w:p w14:paraId="6D52C941" w14:textId="77777777" w:rsidR="00BC1778" w:rsidRDefault="00BC1778" w:rsidP="00BC1778">
      <w:pPr>
        <w:spacing w:after="0"/>
        <w:jc w:val="both"/>
        <w:rPr>
          <w:lang w:val="hr-HR"/>
        </w:rPr>
      </w:pPr>
    </w:p>
    <w:p w14:paraId="38006491" w14:textId="77777777" w:rsidR="00737B78" w:rsidRDefault="00737B78" w:rsidP="00737B78">
      <w:pPr>
        <w:spacing w:before="120"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>Općina Dubrava redovito koristi prilike za prijavu na raspisane natječaje za Jedinice lokalne samouprave i u velikom postotku ostvaruje sufinanciranje projekata iz Državnog i Županijskog proračuna.</w:t>
      </w:r>
    </w:p>
    <w:p w14:paraId="2A3E484F" w14:textId="77777777" w:rsidR="00F72C64" w:rsidRDefault="00F72C64" w:rsidP="00737B78">
      <w:pPr>
        <w:spacing w:before="120" w:after="0"/>
        <w:jc w:val="both"/>
        <w:rPr>
          <w:rFonts w:cstheme="minorHAnsi"/>
          <w:b/>
          <w:bCs/>
          <w:u w:val="single"/>
          <w:lang w:val="hr-HR"/>
        </w:rPr>
      </w:pPr>
    </w:p>
    <w:p w14:paraId="071D0C57" w14:textId="1D5155B1" w:rsidR="00737B78" w:rsidRPr="00D84E5D" w:rsidRDefault="00737B78" w:rsidP="00737B78">
      <w:pPr>
        <w:spacing w:before="120" w:after="0"/>
        <w:jc w:val="both"/>
        <w:rPr>
          <w:rFonts w:cstheme="minorHAnsi"/>
          <w:lang w:val="hr-HR"/>
        </w:rPr>
      </w:pPr>
      <w:r w:rsidRPr="00F739BB">
        <w:rPr>
          <w:rFonts w:cstheme="minorHAnsi"/>
          <w:b/>
          <w:bCs/>
          <w:u w:val="single"/>
          <w:lang w:val="hr-HR"/>
        </w:rPr>
        <w:t>Prihodi od imovine</w:t>
      </w:r>
      <w:r>
        <w:rPr>
          <w:rFonts w:cstheme="minorHAnsi"/>
          <w:lang w:val="hr-HR"/>
        </w:rPr>
        <w:t xml:space="preserve"> ostvareni su u vrijednosti </w:t>
      </w:r>
      <w:r w:rsidR="00E32DDA">
        <w:rPr>
          <w:rFonts w:cstheme="minorHAnsi"/>
          <w:lang w:val="hr-HR"/>
        </w:rPr>
        <w:t>70.353,52</w:t>
      </w:r>
      <w:r>
        <w:rPr>
          <w:rFonts w:cstheme="minorHAnsi"/>
          <w:lang w:val="hr-HR"/>
        </w:rPr>
        <w:t xml:space="preserve"> eura i u odnosu na prethodnu godinu </w:t>
      </w:r>
      <w:r w:rsidR="00F739BB">
        <w:rPr>
          <w:rFonts w:cstheme="minorHAnsi"/>
          <w:lang w:val="hr-HR"/>
        </w:rPr>
        <w:t xml:space="preserve">su </w:t>
      </w:r>
      <w:r w:rsidR="00C908B0">
        <w:rPr>
          <w:rFonts w:cstheme="minorHAnsi"/>
          <w:lang w:val="hr-HR"/>
        </w:rPr>
        <w:t>veći</w:t>
      </w:r>
      <w:r w:rsidR="00F739BB">
        <w:rPr>
          <w:rFonts w:cstheme="minorHAnsi"/>
          <w:lang w:val="hr-HR"/>
        </w:rPr>
        <w:t xml:space="preserve"> za </w:t>
      </w:r>
      <w:r w:rsidR="00E32DDA">
        <w:rPr>
          <w:rFonts w:cstheme="minorHAnsi"/>
          <w:lang w:val="hr-HR"/>
        </w:rPr>
        <w:t>4,70</w:t>
      </w:r>
      <w:r w:rsidR="00F739BB">
        <w:rPr>
          <w:rFonts w:cstheme="minorHAnsi"/>
          <w:lang w:val="hr-HR"/>
        </w:rPr>
        <w:t>%</w:t>
      </w:r>
      <w:r w:rsidR="00C908B0">
        <w:rPr>
          <w:rFonts w:cstheme="minorHAnsi"/>
          <w:lang w:val="hr-HR"/>
        </w:rPr>
        <w:t xml:space="preserve"> zbog aktivne politike stavljanja imovine u funkciju</w:t>
      </w:r>
      <w:r w:rsidR="00F739BB">
        <w:rPr>
          <w:rFonts w:cstheme="minorHAnsi"/>
          <w:lang w:val="hr-HR"/>
        </w:rPr>
        <w:t xml:space="preserve">. Unutar prihoda od imovine </w:t>
      </w:r>
      <w:r w:rsidR="00C908B0">
        <w:rPr>
          <w:rFonts w:cstheme="minorHAnsi"/>
          <w:lang w:val="hr-HR"/>
        </w:rPr>
        <w:t xml:space="preserve">svi prihodi se odnose na </w:t>
      </w:r>
      <w:r w:rsidR="00C908B0" w:rsidRPr="00F739BB">
        <w:rPr>
          <w:rFonts w:cstheme="minorHAnsi"/>
          <w:i/>
          <w:iCs/>
          <w:u w:val="single"/>
          <w:lang w:val="hr-HR"/>
        </w:rPr>
        <w:t>prihod od nefinancijske imovine</w:t>
      </w:r>
      <w:r w:rsidR="00C908B0">
        <w:rPr>
          <w:rFonts w:cstheme="minorHAnsi"/>
          <w:i/>
          <w:iCs/>
          <w:u w:val="single"/>
          <w:lang w:val="hr-HR"/>
        </w:rPr>
        <w:t xml:space="preserve">, ukupno </w:t>
      </w:r>
      <w:r w:rsidR="00E32DDA">
        <w:rPr>
          <w:rFonts w:cstheme="minorHAnsi"/>
          <w:lang w:val="hr-HR"/>
        </w:rPr>
        <w:t>70.353,52</w:t>
      </w:r>
      <w:r w:rsidR="00F739BB">
        <w:rPr>
          <w:rFonts w:cstheme="minorHAnsi"/>
          <w:lang w:val="hr-HR"/>
        </w:rPr>
        <w:t xml:space="preserve"> eura. Prihodi od nefinancijske imovine odnose se na naknade za koncesije </w:t>
      </w:r>
      <w:r w:rsidR="00E32DDA">
        <w:rPr>
          <w:rFonts w:cstheme="minorHAnsi"/>
          <w:lang w:val="hr-HR"/>
        </w:rPr>
        <w:t>5.695,63</w:t>
      </w:r>
      <w:r w:rsidR="00F739BB">
        <w:rPr>
          <w:rFonts w:cstheme="minorHAnsi"/>
          <w:lang w:val="hr-HR"/>
        </w:rPr>
        <w:t xml:space="preserve"> eura</w:t>
      </w:r>
      <w:r w:rsidR="00C908B0">
        <w:rPr>
          <w:rFonts w:cstheme="minorHAnsi"/>
          <w:lang w:val="hr-HR"/>
        </w:rPr>
        <w:t xml:space="preserve"> koji su manji za </w:t>
      </w:r>
      <w:r w:rsidR="00E32DDA">
        <w:rPr>
          <w:rFonts w:cstheme="minorHAnsi"/>
          <w:lang w:val="hr-HR"/>
        </w:rPr>
        <w:t>41,56</w:t>
      </w:r>
      <w:r w:rsidR="00C908B0">
        <w:rPr>
          <w:rFonts w:cstheme="minorHAnsi"/>
          <w:lang w:val="hr-HR"/>
        </w:rPr>
        <w:t>% u odnosu na prethodnu godinu iz razloga što je s 1.12.2024. godine sakupljanje i odvoz otpada povjereno poduzeću u suvlasništvu Komunalac Vrbovec d.o.o</w:t>
      </w:r>
      <w:r w:rsidR="00E32DDA">
        <w:rPr>
          <w:rFonts w:cstheme="minorHAnsi"/>
          <w:lang w:val="hr-HR"/>
        </w:rPr>
        <w:t xml:space="preserve"> te u 2025. godini je Eko Flor plus d.o.o. </w:t>
      </w:r>
      <w:r w:rsidR="003C5F46">
        <w:rPr>
          <w:rFonts w:cstheme="minorHAnsi"/>
          <w:lang w:val="hr-HR"/>
        </w:rPr>
        <w:t>u</w:t>
      </w:r>
      <w:r w:rsidR="00E32DDA">
        <w:rPr>
          <w:rFonts w:cstheme="minorHAnsi"/>
          <w:lang w:val="hr-HR"/>
        </w:rPr>
        <w:t xml:space="preserve">platio samo za dio druge polovice 2024. godine </w:t>
      </w:r>
      <w:r w:rsidR="003C5F46">
        <w:rPr>
          <w:rFonts w:cstheme="minorHAnsi"/>
          <w:lang w:val="hr-HR"/>
        </w:rPr>
        <w:t>koncesiju</w:t>
      </w:r>
      <w:r w:rsidR="00F739BB">
        <w:rPr>
          <w:rFonts w:cstheme="minorHAnsi"/>
          <w:lang w:val="hr-HR"/>
        </w:rPr>
        <w:t xml:space="preserve">, prihode od zakupa i iznajmljivanja imovine </w:t>
      </w:r>
      <w:r w:rsidR="003C5F46">
        <w:rPr>
          <w:rFonts w:cstheme="minorHAnsi"/>
          <w:lang w:val="hr-HR"/>
        </w:rPr>
        <w:t>64.465,10</w:t>
      </w:r>
      <w:r w:rsidR="00F739BB">
        <w:rPr>
          <w:rFonts w:cstheme="minorHAnsi"/>
          <w:lang w:val="hr-HR"/>
        </w:rPr>
        <w:t xml:space="preserve"> eur</w:t>
      </w:r>
      <w:r w:rsidR="003C5F46">
        <w:rPr>
          <w:rFonts w:cstheme="minorHAnsi"/>
          <w:lang w:val="hr-HR"/>
        </w:rPr>
        <w:t>a</w:t>
      </w:r>
      <w:r w:rsidR="00F739BB">
        <w:rPr>
          <w:rFonts w:cstheme="minorHAnsi"/>
          <w:lang w:val="hr-HR"/>
        </w:rPr>
        <w:t xml:space="preserve"> i ostali prihodi od nefinancijske imovine </w:t>
      </w:r>
      <w:r w:rsidR="003C5F46">
        <w:rPr>
          <w:rFonts w:cstheme="minorHAnsi"/>
          <w:lang w:val="hr-HR"/>
        </w:rPr>
        <w:t>192,79</w:t>
      </w:r>
      <w:r w:rsidR="00F739BB">
        <w:rPr>
          <w:rFonts w:cstheme="minorHAnsi"/>
          <w:lang w:val="hr-HR"/>
        </w:rPr>
        <w:t xml:space="preserve"> eura</w:t>
      </w:r>
      <w:r w:rsidR="00C908B0">
        <w:rPr>
          <w:rFonts w:cstheme="minorHAnsi"/>
          <w:lang w:val="hr-HR"/>
        </w:rPr>
        <w:t xml:space="preserve"> koji se odnose na uplaćena sredstva za legalizaciju</w:t>
      </w:r>
      <w:r w:rsidR="00DF2F93">
        <w:rPr>
          <w:rFonts w:cstheme="minorHAnsi"/>
          <w:lang w:val="hr-HR"/>
        </w:rPr>
        <w:t xml:space="preserve"> i spomeničku rentu</w:t>
      </w:r>
      <w:r w:rsidR="00F739BB">
        <w:rPr>
          <w:rFonts w:cstheme="minorHAnsi"/>
          <w:lang w:val="hr-HR"/>
        </w:rPr>
        <w:t>.</w:t>
      </w:r>
    </w:p>
    <w:p w14:paraId="554294C2" w14:textId="3453EB34" w:rsidR="00737B78" w:rsidRDefault="00737B78" w:rsidP="00A27368">
      <w:pPr>
        <w:rPr>
          <w:lang w:val="hr-HR"/>
        </w:rPr>
      </w:pPr>
    </w:p>
    <w:p w14:paraId="5F6BE53C" w14:textId="633CE22A" w:rsidR="009D0DE9" w:rsidRDefault="009D0DE9" w:rsidP="0015150E">
      <w:pPr>
        <w:jc w:val="both"/>
        <w:rPr>
          <w:lang w:val="hr-HR"/>
        </w:rPr>
      </w:pPr>
      <w:r w:rsidRPr="009D0DE9">
        <w:rPr>
          <w:b/>
          <w:bCs/>
          <w:u w:val="single"/>
          <w:lang w:val="hr-HR"/>
        </w:rPr>
        <w:t>Prihodi od upravnih i administrativnih pristojbi, pristojbi po posebnim propisima i naknada</w:t>
      </w:r>
      <w:r>
        <w:rPr>
          <w:lang w:val="hr-HR"/>
        </w:rPr>
        <w:t xml:space="preserve"> ostvareni su u iznosu </w:t>
      </w:r>
      <w:r w:rsidR="00DF2F93">
        <w:rPr>
          <w:lang w:val="hr-HR"/>
        </w:rPr>
        <w:t>192.828,05</w:t>
      </w:r>
      <w:r>
        <w:rPr>
          <w:lang w:val="hr-HR"/>
        </w:rPr>
        <w:t xml:space="preserve"> eura što je za </w:t>
      </w:r>
      <w:r w:rsidR="00DF2F93">
        <w:rPr>
          <w:lang w:val="hr-HR"/>
        </w:rPr>
        <w:t>14,13</w:t>
      </w:r>
      <w:r>
        <w:rPr>
          <w:lang w:val="hr-HR"/>
        </w:rPr>
        <w:t xml:space="preserve">% više od ostvarenog u prethodnoj godini. </w:t>
      </w:r>
      <w:r w:rsidR="00226DFB" w:rsidRPr="00226DFB">
        <w:rPr>
          <w:i/>
          <w:iCs/>
          <w:u w:val="single"/>
          <w:lang w:val="hr-HR"/>
        </w:rPr>
        <w:t>Upravne i administrativne pristojbe</w:t>
      </w:r>
      <w:r w:rsidR="00226DFB">
        <w:rPr>
          <w:lang w:val="hr-HR"/>
        </w:rPr>
        <w:t xml:space="preserve"> su realizirane u </w:t>
      </w:r>
      <w:r w:rsidR="00C908B0">
        <w:rPr>
          <w:lang w:val="hr-HR"/>
        </w:rPr>
        <w:t xml:space="preserve">iznosu od </w:t>
      </w:r>
      <w:r w:rsidR="00DF2F93">
        <w:rPr>
          <w:lang w:val="hr-HR"/>
        </w:rPr>
        <w:t>1.446,28</w:t>
      </w:r>
      <w:r w:rsidR="00C908B0">
        <w:rPr>
          <w:lang w:val="hr-HR"/>
        </w:rPr>
        <w:t xml:space="preserve"> što je </w:t>
      </w:r>
      <w:r w:rsidR="00DF2F93">
        <w:rPr>
          <w:lang w:val="hr-HR"/>
        </w:rPr>
        <w:t>81,02</w:t>
      </w:r>
      <w:r w:rsidR="00226DFB">
        <w:rPr>
          <w:lang w:val="hr-HR"/>
        </w:rPr>
        <w:t xml:space="preserve">% </w:t>
      </w:r>
      <w:r w:rsidR="00DF2F93">
        <w:rPr>
          <w:lang w:val="hr-HR"/>
        </w:rPr>
        <w:t>manje</w:t>
      </w:r>
      <w:r w:rsidR="00226DFB">
        <w:rPr>
          <w:lang w:val="hr-HR"/>
        </w:rPr>
        <w:t xml:space="preserve"> nego u 202</w:t>
      </w:r>
      <w:r w:rsidR="00DF2F93">
        <w:rPr>
          <w:lang w:val="hr-HR"/>
        </w:rPr>
        <w:t>4</w:t>
      </w:r>
      <w:r w:rsidR="00226DFB">
        <w:rPr>
          <w:lang w:val="hr-HR"/>
        </w:rPr>
        <w:t xml:space="preserve">. godini iz razloga što </w:t>
      </w:r>
      <w:r w:rsidR="00DF2F93">
        <w:rPr>
          <w:lang w:val="hr-HR"/>
        </w:rPr>
        <w:t xml:space="preserve">su u 2024. godini još ostvarivani prihodi </w:t>
      </w:r>
      <w:r w:rsidR="00226DFB">
        <w:rPr>
          <w:lang w:val="hr-HR"/>
        </w:rPr>
        <w:t>po osnovi grobnih naknada</w:t>
      </w:r>
      <w:r w:rsidR="00C908B0">
        <w:rPr>
          <w:lang w:val="hr-HR"/>
        </w:rPr>
        <w:t xml:space="preserve"> i usluga vezanih uz groblja</w:t>
      </w:r>
      <w:r w:rsidR="00226DFB">
        <w:rPr>
          <w:lang w:val="hr-HR"/>
        </w:rPr>
        <w:t xml:space="preserve"> zaduženih prije 2022. godine. </w:t>
      </w:r>
      <w:r w:rsidR="00226DFB" w:rsidRPr="00226DFB">
        <w:rPr>
          <w:i/>
          <w:iCs/>
          <w:u w:val="single"/>
          <w:lang w:val="hr-HR"/>
        </w:rPr>
        <w:t>Prihodi po posebnim propisima</w:t>
      </w:r>
      <w:r w:rsidR="00226DFB">
        <w:rPr>
          <w:lang w:val="hr-HR"/>
        </w:rPr>
        <w:t xml:space="preserve"> </w:t>
      </w:r>
      <w:r w:rsidR="00BD0889">
        <w:rPr>
          <w:lang w:val="hr-HR"/>
        </w:rPr>
        <w:t>iznose</w:t>
      </w:r>
      <w:r w:rsidR="00226DFB">
        <w:rPr>
          <w:lang w:val="hr-HR"/>
        </w:rPr>
        <w:t xml:space="preserve"> </w:t>
      </w:r>
      <w:r w:rsidR="00DF2F93">
        <w:rPr>
          <w:lang w:val="hr-HR"/>
        </w:rPr>
        <w:t>127.359,50</w:t>
      </w:r>
      <w:r w:rsidR="00226DFB">
        <w:rPr>
          <w:lang w:val="hr-HR"/>
        </w:rPr>
        <w:t xml:space="preserve"> eura što je </w:t>
      </w:r>
      <w:r w:rsidR="00DF2F93">
        <w:rPr>
          <w:lang w:val="hr-HR"/>
        </w:rPr>
        <w:t>2,28</w:t>
      </w:r>
      <w:r w:rsidR="00226DFB">
        <w:rPr>
          <w:lang w:val="hr-HR"/>
        </w:rPr>
        <w:t xml:space="preserve">% više nego u godini ranije. Komunalni doprinosi i naknade realizirani su u iznosu </w:t>
      </w:r>
      <w:r w:rsidR="00DF2F93">
        <w:rPr>
          <w:lang w:val="hr-HR"/>
        </w:rPr>
        <w:t>64.022,27</w:t>
      </w:r>
      <w:r w:rsidR="00226DFB">
        <w:rPr>
          <w:lang w:val="hr-HR"/>
        </w:rPr>
        <w:t xml:space="preserve"> eur</w:t>
      </w:r>
      <w:r w:rsidR="00DF2F93">
        <w:rPr>
          <w:lang w:val="hr-HR"/>
        </w:rPr>
        <w:t>a</w:t>
      </w:r>
      <w:r w:rsidR="00226DFB">
        <w:rPr>
          <w:lang w:val="hr-HR"/>
        </w:rPr>
        <w:t xml:space="preserve"> i to je za </w:t>
      </w:r>
      <w:r w:rsidR="00DF2F93">
        <w:rPr>
          <w:lang w:val="hr-HR"/>
        </w:rPr>
        <w:t>73,88</w:t>
      </w:r>
      <w:r w:rsidR="00226DFB">
        <w:rPr>
          <w:lang w:val="hr-HR"/>
        </w:rPr>
        <w:t>% više nego u 202</w:t>
      </w:r>
      <w:r w:rsidR="00DF2F93">
        <w:rPr>
          <w:lang w:val="hr-HR"/>
        </w:rPr>
        <w:t>4</w:t>
      </w:r>
      <w:r w:rsidR="00226DFB">
        <w:rPr>
          <w:lang w:val="hr-HR"/>
        </w:rPr>
        <w:t>. godini</w:t>
      </w:r>
      <w:r w:rsidR="00DF2F93">
        <w:rPr>
          <w:lang w:val="hr-HR"/>
        </w:rPr>
        <w:t xml:space="preserve"> iz razloga što se u 2025. godini revidirala baza obveznika komunalne naknade i zaduženih kvadratura</w:t>
      </w:r>
      <w:r w:rsidR="00226DFB">
        <w:rPr>
          <w:lang w:val="hr-HR"/>
        </w:rPr>
        <w:t>.</w:t>
      </w:r>
    </w:p>
    <w:p w14:paraId="1146074F" w14:textId="77777777" w:rsidR="00226DFB" w:rsidRDefault="00226DFB" w:rsidP="0015150E">
      <w:pPr>
        <w:jc w:val="both"/>
        <w:rPr>
          <w:lang w:val="hr-HR"/>
        </w:rPr>
      </w:pPr>
    </w:p>
    <w:p w14:paraId="2E11203C" w14:textId="67D7F8FC" w:rsidR="00632ECE" w:rsidRPr="00BC1778" w:rsidRDefault="00226DFB" w:rsidP="008D299B">
      <w:pPr>
        <w:jc w:val="both"/>
        <w:rPr>
          <w:lang w:val="hr-HR"/>
        </w:rPr>
      </w:pPr>
      <w:r w:rsidRPr="00226DFB">
        <w:rPr>
          <w:b/>
          <w:bCs/>
          <w:u w:val="single"/>
          <w:lang w:val="hr-HR"/>
        </w:rPr>
        <w:t>Prihodi od prodaje proizvoda i robe te pruženih usluga i prihodi od donacija</w:t>
      </w:r>
      <w:r>
        <w:rPr>
          <w:lang w:val="hr-HR"/>
        </w:rPr>
        <w:t xml:space="preserve"> u 202</w:t>
      </w:r>
      <w:r w:rsidR="00DF2F93">
        <w:rPr>
          <w:lang w:val="hr-HR"/>
        </w:rPr>
        <w:t>5</w:t>
      </w:r>
      <w:r>
        <w:rPr>
          <w:lang w:val="hr-HR"/>
        </w:rPr>
        <w:t xml:space="preserve">. godini su realizirani u iznosu </w:t>
      </w:r>
      <w:r w:rsidR="00DF2F93">
        <w:rPr>
          <w:lang w:val="hr-HR"/>
        </w:rPr>
        <w:t>5.601,61</w:t>
      </w:r>
      <w:r>
        <w:rPr>
          <w:lang w:val="hr-HR"/>
        </w:rPr>
        <w:t xml:space="preserve"> eura što je za </w:t>
      </w:r>
      <w:r w:rsidR="008D299B">
        <w:rPr>
          <w:lang w:val="hr-HR"/>
        </w:rPr>
        <w:t>72,56</w:t>
      </w:r>
      <w:r>
        <w:rPr>
          <w:lang w:val="hr-HR"/>
        </w:rPr>
        <w:t xml:space="preserve">% </w:t>
      </w:r>
      <w:r w:rsidR="008D299B">
        <w:rPr>
          <w:lang w:val="hr-HR"/>
        </w:rPr>
        <w:t>manje</w:t>
      </w:r>
      <w:r>
        <w:rPr>
          <w:lang w:val="hr-HR"/>
        </w:rPr>
        <w:t xml:space="preserve"> nego realizirano u 202</w:t>
      </w:r>
      <w:r w:rsidR="008D299B">
        <w:rPr>
          <w:lang w:val="hr-HR"/>
        </w:rPr>
        <w:t>4</w:t>
      </w:r>
      <w:r>
        <w:rPr>
          <w:lang w:val="hr-HR"/>
        </w:rPr>
        <w:t xml:space="preserve">. godini. Ostvareni </w:t>
      </w:r>
      <w:r w:rsidRPr="00F72C64">
        <w:rPr>
          <w:i/>
          <w:iCs/>
          <w:u w:val="single"/>
          <w:lang w:val="hr-HR"/>
        </w:rPr>
        <w:t>prihodi od pruženih usluga</w:t>
      </w:r>
      <w:r>
        <w:rPr>
          <w:lang w:val="hr-HR"/>
        </w:rPr>
        <w:t xml:space="preserve"> iznose </w:t>
      </w:r>
      <w:r w:rsidR="008D299B">
        <w:rPr>
          <w:lang w:val="hr-HR"/>
        </w:rPr>
        <w:t>5.121,61</w:t>
      </w:r>
      <w:r>
        <w:rPr>
          <w:lang w:val="hr-HR"/>
        </w:rPr>
        <w:t xml:space="preserve"> eura i odnose se na </w:t>
      </w:r>
      <w:r w:rsidR="008D299B">
        <w:rPr>
          <w:lang w:val="hr-HR"/>
        </w:rPr>
        <w:t xml:space="preserve">naplaćene knjigovodstvene usluge komunalnom poduzeću Dombra 1094 d.o.o. iz ranijih godina i </w:t>
      </w:r>
      <w:r w:rsidR="00F72C64">
        <w:rPr>
          <w:lang w:val="hr-HR"/>
        </w:rPr>
        <w:t xml:space="preserve">10% vrijednosti naplaćene naknade za uređenje voda koju Općina Dubrava vrši za Hrvatske vode. </w:t>
      </w:r>
      <w:r w:rsidR="00F72C64" w:rsidRPr="00F72C64">
        <w:rPr>
          <w:i/>
          <w:iCs/>
          <w:u w:val="single"/>
          <w:lang w:val="hr-HR"/>
        </w:rPr>
        <w:t xml:space="preserve">Prihode od tekućih </w:t>
      </w:r>
      <w:r w:rsidR="00632ECE">
        <w:rPr>
          <w:i/>
          <w:iCs/>
          <w:u w:val="single"/>
          <w:lang w:val="hr-HR"/>
        </w:rPr>
        <w:t xml:space="preserve">i kapitalnih </w:t>
      </w:r>
      <w:r w:rsidR="00F72C64" w:rsidRPr="00F72C64">
        <w:rPr>
          <w:i/>
          <w:iCs/>
          <w:u w:val="single"/>
          <w:lang w:val="hr-HR"/>
        </w:rPr>
        <w:t>donacija</w:t>
      </w:r>
      <w:r w:rsidR="00F72C64">
        <w:rPr>
          <w:lang w:val="hr-HR"/>
        </w:rPr>
        <w:t xml:space="preserve"> </w:t>
      </w:r>
      <w:r w:rsidR="00632ECE">
        <w:rPr>
          <w:lang w:val="hr-HR"/>
        </w:rPr>
        <w:t xml:space="preserve">iznose </w:t>
      </w:r>
      <w:r w:rsidR="008D299B">
        <w:rPr>
          <w:lang w:val="hr-HR"/>
        </w:rPr>
        <w:t>480,00</w:t>
      </w:r>
      <w:r w:rsidR="00632ECE">
        <w:rPr>
          <w:lang w:val="hr-HR"/>
        </w:rPr>
        <w:t xml:space="preserve"> eura i odnose se na</w:t>
      </w:r>
      <w:r w:rsidR="008D299B">
        <w:rPr>
          <w:lang w:val="hr-HR"/>
        </w:rPr>
        <w:t xml:space="preserve"> donaciju </w:t>
      </w:r>
      <w:r w:rsidR="00632ECE" w:rsidRPr="00BC1778">
        <w:rPr>
          <w:lang w:val="hr-HR"/>
        </w:rPr>
        <w:t>Gradski</w:t>
      </w:r>
      <w:r w:rsidR="008D299B">
        <w:rPr>
          <w:lang w:val="hr-HR"/>
        </w:rPr>
        <w:t>h</w:t>
      </w:r>
      <w:r w:rsidR="00632ECE" w:rsidRPr="00BC1778">
        <w:rPr>
          <w:lang w:val="hr-HR"/>
        </w:rPr>
        <w:t xml:space="preserve"> objekt</w:t>
      </w:r>
      <w:r w:rsidR="008D299B">
        <w:rPr>
          <w:lang w:val="hr-HR"/>
        </w:rPr>
        <w:t>a</w:t>
      </w:r>
      <w:r w:rsidR="00632ECE" w:rsidRPr="00BC1778">
        <w:rPr>
          <w:lang w:val="hr-HR"/>
        </w:rPr>
        <w:t xml:space="preserve"> Vrbovec </w:t>
      </w:r>
      <w:r w:rsidR="008D299B">
        <w:rPr>
          <w:lang w:val="hr-HR"/>
        </w:rPr>
        <w:t xml:space="preserve">d.o.o. Dječjem vrtiću Dubrava </w:t>
      </w:r>
      <w:r w:rsidR="00632ECE" w:rsidRPr="00BC1778">
        <w:rPr>
          <w:lang w:val="hr-HR"/>
        </w:rPr>
        <w:t>za dnevnice odgojiteljica koje su bile pratnja na ljetovanju djece u Nerezinama</w:t>
      </w:r>
      <w:r w:rsidR="008D299B">
        <w:rPr>
          <w:lang w:val="hr-HR"/>
        </w:rPr>
        <w:t>.</w:t>
      </w:r>
    </w:p>
    <w:p w14:paraId="5C1362EE" w14:textId="77777777" w:rsidR="00F72C64" w:rsidRDefault="00F72C64" w:rsidP="0015150E">
      <w:pPr>
        <w:jc w:val="both"/>
        <w:rPr>
          <w:lang w:val="hr-HR"/>
        </w:rPr>
      </w:pPr>
    </w:p>
    <w:p w14:paraId="6AF2FE56" w14:textId="476FC76A" w:rsidR="00F72C64" w:rsidRDefault="00F72C64" w:rsidP="0015150E">
      <w:pPr>
        <w:jc w:val="both"/>
        <w:rPr>
          <w:lang w:val="hr-HR"/>
        </w:rPr>
      </w:pPr>
      <w:r w:rsidRPr="00F72C64">
        <w:rPr>
          <w:b/>
          <w:bCs/>
          <w:u w:val="single"/>
          <w:lang w:val="hr-HR"/>
        </w:rPr>
        <w:lastRenderedPageBreak/>
        <w:t>Kazne, upravne mjere i ostali prihodi</w:t>
      </w:r>
      <w:r>
        <w:rPr>
          <w:lang w:val="hr-HR"/>
        </w:rPr>
        <w:t xml:space="preserve"> </w:t>
      </w:r>
      <w:r w:rsidR="0034300F">
        <w:rPr>
          <w:lang w:val="hr-HR"/>
        </w:rPr>
        <w:t>u 202</w:t>
      </w:r>
      <w:r w:rsidR="008D299B">
        <w:rPr>
          <w:lang w:val="hr-HR"/>
        </w:rPr>
        <w:t>5</w:t>
      </w:r>
      <w:r w:rsidR="0034300F">
        <w:rPr>
          <w:lang w:val="hr-HR"/>
        </w:rPr>
        <w:t>. godini</w:t>
      </w:r>
      <w:r w:rsidR="001116E1">
        <w:rPr>
          <w:lang w:val="hr-HR"/>
        </w:rPr>
        <w:t xml:space="preserve"> su realizirani prihodi od kazni u iznosu od 477,83 eura što je 100% više nego u prethodnoj godini</w:t>
      </w:r>
      <w:r>
        <w:rPr>
          <w:lang w:val="hr-HR"/>
        </w:rPr>
        <w:t>.</w:t>
      </w:r>
    </w:p>
    <w:p w14:paraId="61D0D97A" w14:textId="77777777" w:rsidR="0034300F" w:rsidRDefault="0034300F" w:rsidP="00A27368">
      <w:pPr>
        <w:rPr>
          <w:lang w:val="hr-HR"/>
        </w:rPr>
      </w:pPr>
    </w:p>
    <w:p w14:paraId="7BA29466" w14:textId="17DDB8BE" w:rsidR="006E4A29" w:rsidRDefault="00F72C64" w:rsidP="00A27368">
      <w:pPr>
        <w:rPr>
          <w:lang w:val="hr-HR"/>
        </w:rPr>
      </w:pPr>
      <w:r w:rsidRPr="00F72C64">
        <w:rPr>
          <w:b/>
          <w:bCs/>
          <w:u w:val="single"/>
          <w:lang w:val="hr-HR"/>
        </w:rPr>
        <w:t>Prihodi od prodaje neproizvedene dugotrajne imovine</w:t>
      </w:r>
      <w:r>
        <w:rPr>
          <w:lang w:val="hr-HR"/>
        </w:rPr>
        <w:t xml:space="preserve"> realizirani su u vrijednosti od </w:t>
      </w:r>
      <w:r w:rsidR="009A12B5">
        <w:rPr>
          <w:lang w:val="hr-HR"/>
        </w:rPr>
        <w:t>85.881,47</w:t>
      </w:r>
      <w:r>
        <w:rPr>
          <w:lang w:val="hr-HR"/>
        </w:rPr>
        <w:t xml:space="preserve"> eura što je za </w:t>
      </w:r>
      <w:r w:rsidR="009A12B5">
        <w:rPr>
          <w:lang w:val="hr-HR"/>
        </w:rPr>
        <w:t>6.216,94</w:t>
      </w:r>
      <w:r>
        <w:rPr>
          <w:lang w:val="hr-HR"/>
        </w:rPr>
        <w:t xml:space="preserve">% </w:t>
      </w:r>
      <w:r w:rsidR="009A12B5">
        <w:rPr>
          <w:lang w:val="hr-HR"/>
        </w:rPr>
        <w:t>više</w:t>
      </w:r>
      <w:r>
        <w:rPr>
          <w:lang w:val="hr-HR"/>
        </w:rPr>
        <w:t xml:space="preserve"> nego u prethodnoj godini, a odnosi se na prihod od proda</w:t>
      </w:r>
      <w:r w:rsidR="009A12B5">
        <w:rPr>
          <w:lang w:val="hr-HR"/>
        </w:rPr>
        <w:t>je</w:t>
      </w:r>
      <w:r>
        <w:rPr>
          <w:lang w:val="hr-HR"/>
        </w:rPr>
        <w:t xml:space="preserve"> zemljišta</w:t>
      </w:r>
      <w:r w:rsidR="009A12B5">
        <w:rPr>
          <w:lang w:val="hr-HR"/>
        </w:rPr>
        <w:t xml:space="preserve"> u vlasništvu RH što je bilo provedeno u 2025. godini, a od ukupno prodane vrijednosti zemljišta Općini Dubrava pripada 65%</w:t>
      </w:r>
      <w:r>
        <w:rPr>
          <w:lang w:val="hr-HR"/>
        </w:rPr>
        <w:t>.</w:t>
      </w:r>
    </w:p>
    <w:p w14:paraId="5055C441" w14:textId="5A09F41C" w:rsidR="009C646A" w:rsidRDefault="009C646A" w:rsidP="0015150E">
      <w:pPr>
        <w:jc w:val="both"/>
        <w:rPr>
          <w:lang w:val="hr-HR"/>
        </w:rPr>
      </w:pPr>
      <w:r w:rsidRPr="009C646A">
        <w:rPr>
          <w:b/>
          <w:bCs/>
          <w:u w:val="single"/>
          <w:lang w:val="hr-HR"/>
        </w:rPr>
        <w:t>Prihod od prodaje proizvedene dugotrajne imovine</w:t>
      </w:r>
      <w:r>
        <w:rPr>
          <w:lang w:val="hr-HR"/>
        </w:rPr>
        <w:t xml:space="preserve"> odnosi se na prihode od prodanog stana iz ranijih razdoblja koji se naplaćuje u ratama. Prihod od prodaje stana ostvaren je u iznosu </w:t>
      </w:r>
      <w:r w:rsidR="009A12B5">
        <w:rPr>
          <w:lang w:val="hr-HR"/>
        </w:rPr>
        <w:t>364,98</w:t>
      </w:r>
      <w:r>
        <w:rPr>
          <w:lang w:val="hr-HR"/>
        </w:rPr>
        <w:t xml:space="preserve"> eura.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84"/>
        <w:gridCol w:w="1843"/>
        <w:gridCol w:w="1788"/>
        <w:gridCol w:w="1579"/>
      </w:tblGrid>
      <w:tr w:rsidR="00A513DA" w:rsidRPr="00A513DA" w14:paraId="57F1DA39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21AEC16F" w14:textId="77777777" w:rsidR="009C646A" w:rsidRDefault="009C646A" w:rsidP="00A513DA">
            <w:pPr>
              <w:rPr>
                <w:b/>
                <w:bCs/>
              </w:rPr>
            </w:pPr>
          </w:p>
          <w:p w14:paraId="1EE44EDB" w14:textId="2957A056" w:rsidR="00A513DA" w:rsidRPr="00A513DA" w:rsidRDefault="00A513DA" w:rsidP="00A513DA">
            <w:pPr>
              <w:rPr>
                <w:b/>
                <w:bCs/>
              </w:rPr>
            </w:pPr>
            <w:r>
              <w:rPr>
                <w:b/>
                <w:bCs/>
              </w:rPr>
              <w:t>Prihodi</w:t>
            </w:r>
          </w:p>
        </w:tc>
        <w:tc>
          <w:tcPr>
            <w:tcW w:w="1843" w:type="dxa"/>
            <w:noWrap/>
            <w:hideMark/>
          </w:tcPr>
          <w:p w14:paraId="37B1EC92" w14:textId="129BAAFE" w:rsidR="00A513DA" w:rsidRPr="00A513DA" w:rsidRDefault="00A513DA" w:rsidP="00A513DA">
            <w:pPr>
              <w:rPr>
                <w:b/>
                <w:bCs/>
              </w:rPr>
            </w:pPr>
            <w:r w:rsidRPr="00A513DA">
              <w:rPr>
                <w:b/>
                <w:bCs/>
              </w:rPr>
              <w:t>Izvršenje 202</w:t>
            </w:r>
            <w:r w:rsidR="009A12B5">
              <w:rPr>
                <w:b/>
                <w:bCs/>
              </w:rPr>
              <w:t>4</w:t>
            </w:r>
            <w:r w:rsidRPr="00A513DA">
              <w:rPr>
                <w:b/>
                <w:bCs/>
              </w:rPr>
              <w:t>. €</w:t>
            </w:r>
          </w:p>
        </w:tc>
        <w:tc>
          <w:tcPr>
            <w:tcW w:w="1788" w:type="dxa"/>
            <w:noWrap/>
            <w:hideMark/>
          </w:tcPr>
          <w:p w14:paraId="3FCD5BAE" w14:textId="65F33526" w:rsidR="00A513DA" w:rsidRPr="00A513DA" w:rsidRDefault="00A513DA" w:rsidP="00A513DA">
            <w:pPr>
              <w:rPr>
                <w:b/>
                <w:bCs/>
              </w:rPr>
            </w:pPr>
            <w:r w:rsidRPr="00A513DA">
              <w:rPr>
                <w:b/>
                <w:bCs/>
              </w:rPr>
              <w:t>Izvršenje 202</w:t>
            </w:r>
            <w:r w:rsidR="009A12B5">
              <w:rPr>
                <w:b/>
                <w:bCs/>
              </w:rPr>
              <w:t>5</w:t>
            </w:r>
            <w:r w:rsidRPr="00A513DA">
              <w:rPr>
                <w:b/>
                <w:bCs/>
              </w:rPr>
              <w:t>. €</w:t>
            </w:r>
          </w:p>
        </w:tc>
        <w:tc>
          <w:tcPr>
            <w:tcW w:w="1579" w:type="dxa"/>
            <w:noWrap/>
            <w:hideMark/>
          </w:tcPr>
          <w:p w14:paraId="4442F65B" w14:textId="77777777" w:rsidR="00A513DA" w:rsidRPr="00A513DA" w:rsidRDefault="00A513DA" w:rsidP="00A513DA">
            <w:pPr>
              <w:rPr>
                <w:b/>
                <w:bCs/>
              </w:rPr>
            </w:pPr>
            <w:r w:rsidRPr="00A513DA">
              <w:rPr>
                <w:b/>
                <w:bCs/>
              </w:rPr>
              <w:t>Indeks  2/1</w:t>
            </w:r>
          </w:p>
        </w:tc>
      </w:tr>
      <w:tr w:rsidR="00A513DA" w:rsidRPr="00A513DA" w14:paraId="07C029C8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744D9C63" w14:textId="4EA31CFC" w:rsidR="00A513DA" w:rsidRPr="00A513DA" w:rsidRDefault="00A513DA">
            <w:pPr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60758071" w14:textId="77777777" w:rsidR="00A513DA" w:rsidRPr="00A513DA" w:rsidRDefault="00A513DA" w:rsidP="00A513DA">
            <w:pPr>
              <w:jc w:val="center"/>
              <w:rPr>
                <w:b/>
                <w:bCs/>
              </w:rPr>
            </w:pPr>
            <w:r w:rsidRPr="00A513DA">
              <w:rPr>
                <w:b/>
                <w:bCs/>
              </w:rPr>
              <w:t>1</w:t>
            </w:r>
          </w:p>
        </w:tc>
        <w:tc>
          <w:tcPr>
            <w:tcW w:w="1788" w:type="dxa"/>
            <w:noWrap/>
            <w:hideMark/>
          </w:tcPr>
          <w:p w14:paraId="16CD6045" w14:textId="77777777" w:rsidR="00A513DA" w:rsidRPr="00A513DA" w:rsidRDefault="00A513DA" w:rsidP="00A513DA">
            <w:pPr>
              <w:jc w:val="center"/>
              <w:rPr>
                <w:b/>
                <w:bCs/>
              </w:rPr>
            </w:pPr>
            <w:r w:rsidRPr="00A513DA">
              <w:rPr>
                <w:b/>
                <w:bCs/>
              </w:rPr>
              <w:t>2</w:t>
            </w:r>
          </w:p>
        </w:tc>
        <w:tc>
          <w:tcPr>
            <w:tcW w:w="1579" w:type="dxa"/>
            <w:noWrap/>
            <w:hideMark/>
          </w:tcPr>
          <w:p w14:paraId="5FF2FC26" w14:textId="77777777" w:rsidR="00A513DA" w:rsidRPr="00A513DA" w:rsidRDefault="00A513DA" w:rsidP="00A513DA">
            <w:pPr>
              <w:jc w:val="center"/>
              <w:rPr>
                <w:b/>
                <w:bCs/>
              </w:rPr>
            </w:pPr>
            <w:r w:rsidRPr="00A513DA">
              <w:rPr>
                <w:b/>
                <w:bCs/>
              </w:rPr>
              <w:t>3</w:t>
            </w:r>
          </w:p>
        </w:tc>
      </w:tr>
      <w:tr w:rsidR="00A513DA" w:rsidRPr="00A513DA" w14:paraId="6C357AD3" w14:textId="77777777" w:rsidTr="00A513DA">
        <w:trPr>
          <w:trHeight w:val="255"/>
        </w:trPr>
        <w:tc>
          <w:tcPr>
            <w:tcW w:w="8784" w:type="dxa"/>
            <w:noWrap/>
          </w:tcPr>
          <w:p w14:paraId="000CCBDD" w14:textId="1D152116" w:rsidR="00A513DA" w:rsidRPr="00A513DA" w:rsidRDefault="00A513DA">
            <w:pPr>
              <w:rPr>
                <w:b/>
                <w:bCs/>
              </w:rPr>
            </w:pPr>
            <w:r>
              <w:rPr>
                <w:b/>
                <w:bCs/>
              </w:rPr>
              <w:t>UKUPNI PRIHODI</w:t>
            </w:r>
          </w:p>
        </w:tc>
        <w:tc>
          <w:tcPr>
            <w:tcW w:w="1843" w:type="dxa"/>
            <w:noWrap/>
          </w:tcPr>
          <w:p w14:paraId="05F5860D" w14:textId="1BF10D30" w:rsidR="00A513DA" w:rsidRPr="00A513DA" w:rsidRDefault="00CC5327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3.463.178,30</w:t>
            </w:r>
          </w:p>
        </w:tc>
        <w:tc>
          <w:tcPr>
            <w:tcW w:w="1788" w:type="dxa"/>
            <w:noWrap/>
          </w:tcPr>
          <w:p w14:paraId="37244D02" w14:textId="08A06718" w:rsidR="00A513DA" w:rsidRPr="00A513DA" w:rsidRDefault="00CC5327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4.676.939,13</w:t>
            </w:r>
          </w:p>
        </w:tc>
        <w:tc>
          <w:tcPr>
            <w:tcW w:w="1579" w:type="dxa"/>
            <w:noWrap/>
          </w:tcPr>
          <w:p w14:paraId="06AB1446" w14:textId="13F4F4F6" w:rsidR="00A513DA" w:rsidRPr="00A513DA" w:rsidRDefault="00CC5327" w:rsidP="00A51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135,05</w:t>
            </w:r>
            <w:r w:rsidR="00A513DA">
              <w:rPr>
                <w:b/>
                <w:bCs/>
              </w:rPr>
              <w:t>%</w:t>
            </w:r>
          </w:p>
        </w:tc>
      </w:tr>
      <w:tr w:rsidR="00A513DA" w:rsidRPr="00A513DA" w14:paraId="71A6AE01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720F8750" w14:textId="77777777" w:rsidR="00A513DA" w:rsidRPr="00A513DA" w:rsidRDefault="00A513DA">
            <w:pPr>
              <w:rPr>
                <w:b/>
                <w:bCs/>
              </w:rPr>
            </w:pPr>
            <w:r w:rsidRPr="00A513DA">
              <w:rPr>
                <w:b/>
                <w:bCs/>
              </w:rPr>
              <w:t>6 Prihodi poslovanja</w:t>
            </w:r>
          </w:p>
        </w:tc>
        <w:tc>
          <w:tcPr>
            <w:tcW w:w="1843" w:type="dxa"/>
            <w:noWrap/>
            <w:hideMark/>
          </w:tcPr>
          <w:p w14:paraId="58C707F7" w14:textId="3E1E1E4E" w:rsidR="00A513DA" w:rsidRPr="00A513DA" w:rsidRDefault="00C82BBF" w:rsidP="003430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3.461.796,89</w:t>
            </w:r>
          </w:p>
        </w:tc>
        <w:tc>
          <w:tcPr>
            <w:tcW w:w="1788" w:type="dxa"/>
            <w:noWrap/>
            <w:hideMark/>
          </w:tcPr>
          <w:p w14:paraId="66896AF7" w14:textId="36F8FD57" w:rsidR="00A513DA" w:rsidRPr="00A513DA" w:rsidRDefault="00C82BBF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4.591.057,66</w:t>
            </w:r>
          </w:p>
        </w:tc>
        <w:tc>
          <w:tcPr>
            <w:tcW w:w="1579" w:type="dxa"/>
            <w:noWrap/>
            <w:hideMark/>
          </w:tcPr>
          <w:p w14:paraId="40D97693" w14:textId="68D1C821" w:rsidR="00A513DA" w:rsidRPr="00A513DA" w:rsidRDefault="00C82BBF" w:rsidP="00A51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132,62</w:t>
            </w:r>
            <w:r w:rsidR="00A513DA" w:rsidRPr="00A513DA">
              <w:rPr>
                <w:b/>
                <w:bCs/>
              </w:rPr>
              <w:t>%</w:t>
            </w:r>
          </w:p>
        </w:tc>
      </w:tr>
      <w:tr w:rsidR="00CC5327" w:rsidRPr="00A513DA" w14:paraId="37762CAA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226E5CF1" w14:textId="77777777" w:rsidR="00CC5327" w:rsidRPr="00A513DA" w:rsidRDefault="00CC5327" w:rsidP="00CC5327">
            <w:r w:rsidRPr="00A513DA">
              <w:t xml:space="preserve">61 Prihodi od poreza  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7EF057B3" w14:textId="333F0662" w:rsidR="00CC5327" w:rsidRPr="00A513DA" w:rsidRDefault="00CC5327" w:rsidP="00CC5327">
            <w:pPr>
              <w:jc w:val="right"/>
            </w:pPr>
            <w:r w:rsidRPr="0034300F">
              <w:t>1.399.996,70</w:t>
            </w:r>
          </w:p>
        </w:tc>
        <w:tc>
          <w:tcPr>
            <w:tcW w:w="1788" w:type="dxa"/>
            <w:noWrap/>
            <w:hideMark/>
          </w:tcPr>
          <w:p w14:paraId="6561592C" w14:textId="14558298" w:rsidR="00CC5327" w:rsidRPr="00A513DA" w:rsidRDefault="00CC5327" w:rsidP="00CC5327">
            <w:pPr>
              <w:jc w:val="right"/>
            </w:pPr>
            <w:r>
              <w:t>1.584.606,66</w:t>
            </w:r>
          </w:p>
        </w:tc>
        <w:tc>
          <w:tcPr>
            <w:tcW w:w="1579" w:type="dxa"/>
            <w:noWrap/>
            <w:hideMark/>
          </w:tcPr>
          <w:p w14:paraId="62A6E398" w14:textId="58B5655E" w:rsidR="00CC5327" w:rsidRPr="00A513DA" w:rsidRDefault="00CC5327" w:rsidP="00CC5327">
            <w:pPr>
              <w:jc w:val="center"/>
            </w:pPr>
            <w:r>
              <w:t>113,19</w:t>
            </w:r>
            <w:r w:rsidRPr="00A513DA">
              <w:t>%</w:t>
            </w:r>
          </w:p>
        </w:tc>
      </w:tr>
      <w:tr w:rsidR="00CC5327" w:rsidRPr="00A513DA" w14:paraId="5E671E29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4B9C458E" w14:textId="77777777" w:rsidR="00CC5327" w:rsidRPr="00A513DA" w:rsidRDefault="00CC5327" w:rsidP="00CC5327">
            <w:r w:rsidRPr="00A513DA">
              <w:t>63 Pomoći iz inozemstva i od subjekata unutar općeg proračuna</w:t>
            </w:r>
          </w:p>
        </w:tc>
        <w:tc>
          <w:tcPr>
            <w:tcW w:w="1843" w:type="dxa"/>
            <w:noWrap/>
            <w:hideMark/>
          </w:tcPr>
          <w:p w14:paraId="45254395" w14:textId="46CEADB3" w:rsidR="00CC5327" w:rsidRPr="00A513DA" w:rsidRDefault="00CC5327" w:rsidP="00CC5327">
            <w:pPr>
              <w:jc w:val="right"/>
            </w:pPr>
            <w:r w:rsidRPr="0034300F">
              <w:t>1.805.228,47</w:t>
            </w:r>
          </w:p>
        </w:tc>
        <w:tc>
          <w:tcPr>
            <w:tcW w:w="1788" w:type="dxa"/>
            <w:noWrap/>
            <w:hideMark/>
          </w:tcPr>
          <w:p w14:paraId="419E93A7" w14:textId="73E5228D" w:rsidR="00CC5327" w:rsidRPr="00A513DA" w:rsidRDefault="00CC5327" w:rsidP="00CC5327">
            <w:pPr>
              <w:jc w:val="right"/>
            </w:pPr>
            <w:r>
              <w:t>2.737.189,99</w:t>
            </w:r>
          </w:p>
        </w:tc>
        <w:tc>
          <w:tcPr>
            <w:tcW w:w="1579" w:type="dxa"/>
            <w:noWrap/>
            <w:hideMark/>
          </w:tcPr>
          <w:p w14:paraId="7B93566A" w14:textId="54600D6C" w:rsidR="00CC5327" w:rsidRPr="00A513DA" w:rsidRDefault="00CC5327" w:rsidP="00CC5327">
            <w:pPr>
              <w:jc w:val="center"/>
            </w:pPr>
            <w:r>
              <w:t>151,63</w:t>
            </w:r>
            <w:r w:rsidRPr="00A513DA">
              <w:t>%</w:t>
            </w:r>
          </w:p>
        </w:tc>
      </w:tr>
      <w:tr w:rsidR="00CC5327" w:rsidRPr="00A513DA" w14:paraId="599ADA0C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34FCFC43" w14:textId="77777777" w:rsidR="00CC5327" w:rsidRPr="00A513DA" w:rsidRDefault="00CC5327" w:rsidP="00CC5327">
            <w:r w:rsidRPr="00A513DA">
              <w:t xml:space="preserve">64 Prihodi od imovine 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6866695C" w14:textId="1CA88CA0" w:rsidR="00CC5327" w:rsidRPr="00A513DA" w:rsidRDefault="00CC5327" w:rsidP="00CC5327">
            <w:pPr>
              <w:jc w:val="right"/>
            </w:pPr>
            <w:r w:rsidRPr="0034300F">
              <w:t>67.197,46</w:t>
            </w:r>
          </w:p>
        </w:tc>
        <w:tc>
          <w:tcPr>
            <w:tcW w:w="1788" w:type="dxa"/>
            <w:noWrap/>
            <w:hideMark/>
          </w:tcPr>
          <w:p w14:paraId="3BE4D227" w14:textId="683BF815" w:rsidR="00CC5327" w:rsidRPr="00A513DA" w:rsidRDefault="00CC5327" w:rsidP="00CC5327">
            <w:pPr>
              <w:jc w:val="right"/>
            </w:pPr>
            <w:r>
              <w:t>70.353,52</w:t>
            </w:r>
          </w:p>
        </w:tc>
        <w:tc>
          <w:tcPr>
            <w:tcW w:w="1579" w:type="dxa"/>
            <w:noWrap/>
            <w:hideMark/>
          </w:tcPr>
          <w:p w14:paraId="545EF2F1" w14:textId="014F5537" w:rsidR="00CC5327" w:rsidRPr="00A513DA" w:rsidRDefault="00CC5327" w:rsidP="00CC5327">
            <w:pPr>
              <w:jc w:val="center"/>
            </w:pPr>
            <w:r>
              <w:t>104,70</w:t>
            </w:r>
            <w:r w:rsidRPr="00A513DA">
              <w:t>%</w:t>
            </w:r>
          </w:p>
        </w:tc>
      </w:tr>
      <w:tr w:rsidR="00CC5327" w:rsidRPr="00A513DA" w14:paraId="6E1C317E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24ABD7AD" w14:textId="77777777" w:rsidR="00CC5327" w:rsidRPr="00A513DA" w:rsidRDefault="00CC5327" w:rsidP="00CC5327">
            <w:r w:rsidRPr="00A513DA">
              <w:t xml:space="preserve">65 Prihodi od upravnih i administrativnih pristojbi, pristojbi po posebnim propisima i naknada         </w:t>
            </w:r>
          </w:p>
        </w:tc>
        <w:tc>
          <w:tcPr>
            <w:tcW w:w="1843" w:type="dxa"/>
            <w:noWrap/>
            <w:hideMark/>
          </w:tcPr>
          <w:p w14:paraId="6F7DCF1A" w14:textId="4F1887A0" w:rsidR="00CC5327" w:rsidRPr="00A513DA" w:rsidRDefault="00CC5327" w:rsidP="00CC5327">
            <w:pPr>
              <w:jc w:val="right"/>
            </w:pPr>
            <w:r w:rsidRPr="0034300F">
              <w:t>168.956,68</w:t>
            </w:r>
          </w:p>
        </w:tc>
        <w:tc>
          <w:tcPr>
            <w:tcW w:w="1788" w:type="dxa"/>
            <w:noWrap/>
            <w:hideMark/>
          </w:tcPr>
          <w:p w14:paraId="487F0EAF" w14:textId="423ADFF8" w:rsidR="00CC5327" w:rsidRPr="00A513DA" w:rsidRDefault="00CC5327" w:rsidP="00CC5327">
            <w:pPr>
              <w:jc w:val="right"/>
            </w:pPr>
            <w:r>
              <w:t>195.828,05</w:t>
            </w:r>
          </w:p>
        </w:tc>
        <w:tc>
          <w:tcPr>
            <w:tcW w:w="1579" w:type="dxa"/>
            <w:noWrap/>
            <w:hideMark/>
          </w:tcPr>
          <w:p w14:paraId="4D631B54" w14:textId="327EF04B" w:rsidR="00CC5327" w:rsidRPr="00A513DA" w:rsidRDefault="00CC5327" w:rsidP="00CC5327">
            <w:pPr>
              <w:jc w:val="center"/>
            </w:pPr>
            <w:r>
              <w:t>114,13</w:t>
            </w:r>
            <w:r w:rsidRPr="00A513DA">
              <w:t>%</w:t>
            </w:r>
          </w:p>
        </w:tc>
      </w:tr>
      <w:tr w:rsidR="00CC5327" w:rsidRPr="00A513DA" w14:paraId="684966C3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4AA38FA8" w14:textId="77777777" w:rsidR="00CC5327" w:rsidRPr="00A513DA" w:rsidRDefault="00CC5327" w:rsidP="00CC5327">
            <w:r w:rsidRPr="00A513DA">
              <w:t xml:space="preserve">66 Prihodi od prodaje proizvoda i robe te pruženih usluga i prihodi od donacija                        </w:t>
            </w:r>
          </w:p>
        </w:tc>
        <w:tc>
          <w:tcPr>
            <w:tcW w:w="1843" w:type="dxa"/>
            <w:noWrap/>
            <w:hideMark/>
          </w:tcPr>
          <w:p w14:paraId="7FCAF49F" w14:textId="5EBD30CC" w:rsidR="00CC5327" w:rsidRPr="00A513DA" w:rsidRDefault="00CC5327" w:rsidP="00CC5327">
            <w:pPr>
              <w:jc w:val="right"/>
            </w:pPr>
            <w:r w:rsidRPr="0034300F">
              <w:t>20.417,58</w:t>
            </w:r>
          </w:p>
        </w:tc>
        <w:tc>
          <w:tcPr>
            <w:tcW w:w="1788" w:type="dxa"/>
            <w:noWrap/>
            <w:hideMark/>
          </w:tcPr>
          <w:p w14:paraId="28177ABD" w14:textId="000361AD" w:rsidR="00CC5327" w:rsidRPr="00A513DA" w:rsidRDefault="00CC5327" w:rsidP="00CC5327">
            <w:pPr>
              <w:jc w:val="right"/>
            </w:pPr>
            <w:r>
              <w:t>5.601,61</w:t>
            </w:r>
          </w:p>
        </w:tc>
        <w:tc>
          <w:tcPr>
            <w:tcW w:w="1579" w:type="dxa"/>
            <w:noWrap/>
            <w:hideMark/>
          </w:tcPr>
          <w:p w14:paraId="27CC6B9E" w14:textId="376B22FA" w:rsidR="00CC5327" w:rsidRPr="00A513DA" w:rsidRDefault="00CC5327" w:rsidP="00CC5327">
            <w:pPr>
              <w:jc w:val="center"/>
            </w:pPr>
            <w:r>
              <w:t>27,44</w:t>
            </w:r>
            <w:r w:rsidRPr="00A513DA">
              <w:t>%</w:t>
            </w:r>
          </w:p>
        </w:tc>
      </w:tr>
      <w:tr w:rsidR="00CC5327" w:rsidRPr="00A513DA" w14:paraId="45A63BF9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62F822ED" w14:textId="77777777" w:rsidR="00CC5327" w:rsidRPr="00A513DA" w:rsidRDefault="00CC5327" w:rsidP="00CC5327">
            <w:r w:rsidRPr="00A513DA">
              <w:t xml:space="preserve">68 Kazne, upravne mjere i ostali prihodi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6460C100" w14:textId="1B05E2D8" w:rsidR="00CC5327" w:rsidRPr="00A513DA" w:rsidRDefault="00CC5327" w:rsidP="00CC5327">
            <w:pPr>
              <w:jc w:val="right"/>
            </w:pPr>
            <w:r>
              <w:t>0,00</w:t>
            </w:r>
          </w:p>
        </w:tc>
        <w:tc>
          <w:tcPr>
            <w:tcW w:w="1788" w:type="dxa"/>
            <w:noWrap/>
            <w:hideMark/>
          </w:tcPr>
          <w:p w14:paraId="6ED91435" w14:textId="7CA2A382" w:rsidR="00CC5327" w:rsidRPr="00A513DA" w:rsidRDefault="00CC5327" w:rsidP="00CC5327">
            <w:pPr>
              <w:jc w:val="right"/>
            </w:pPr>
            <w:r>
              <w:t>477,83</w:t>
            </w:r>
          </w:p>
        </w:tc>
        <w:tc>
          <w:tcPr>
            <w:tcW w:w="1579" w:type="dxa"/>
            <w:noWrap/>
            <w:hideMark/>
          </w:tcPr>
          <w:p w14:paraId="18E93516" w14:textId="67DCF101" w:rsidR="00CC5327" w:rsidRPr="00A513DA" w:rsidRDefault="00CC5327" w:rsidP="00CC5327">
            <w:pPr>
              <w:jc w:val="center"/>
            </w:pPr>
            <w:r>
              <w:t>10</w:t>
            </w:r>
            <w:r w:rsidRPr="00A513DA">
              <w:t>0,00%</w:t>
            </w:r>
          </w:p>
        </w:tc>
      </w:tr>
      <w:tr w:rsidR="00CC5327" w:rsidRPr="00A513DA" w14:paraId="413615B6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15579507" w14:textId="77777777" w:rsidR="00CC5327" w:rsidRPr="00A513DA" w:rsidRDefault="00CC5327" w:rsidP="00CC5327">
            <w:pPr>
              <w:rPr>
                <w:b/>
                <w:bCs/>
              </w:rPr>
            </w:pPr>
            <w:r w:rsidRPr="00A513DA">
              <w:rPr>
                <w:b/>
                <w:bCs/>
              </w:rPr>
              <w:t>7 Prihodi od prodaje nefinancijske imovine</w:t>
            </w:r>
          </w:p>
        </w:tc>
        <w:tc>
          <w:tcPr>
            <w:tcW w:w="1843" w:type="dxa"/>
            <w:noWrap/>
            <w:hideMark/>
          </w:tcPr>
          <w:p w14:paraId="5B6BB39B" w14:textId="77777777" w:rsidR="00CC5327" w:rsidRDefault="00CC5327" w:rsidP="00CC532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1.381,41</w:t>
            </w:r>
          </w:p>
          <w:p w14:paraId="5BFCF1A7" w14:textId="4BDC3F0D" w:rsidR="00CC5327" w:rsidRPr="00A513DA" w:rsidRDefault="00CC5327" w:rsidP="00CC5327">
            <w:pPr>
              <w:jc w:val="right"/>
              <w:rPr>
                <w:b/>
                <w:bCs/>
              </w:rPr>
            </w:pPr>
          </w:p>
        </w:tc>
        <w:tc>
          <w:tcPr>
            <w:tcW w:w="1788" w:type="dxa"/>
            <w:noWrap/>
            <w:hideMark/>
          </w:tcPr>
          <w:p w14:paraId="61000B73" w14:textId="0304804A" w:rsidR="00CC5327" w:rsidRDefault="00CC5327" w:rsidP="00CC532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85.881,47</w:t>
            </w:r>
          </w:p>
          <w:p w14:paraId="11CF71C8" w14:textId="1ACAC819" w:rsidR="00CC5327" w:rsidRPr="00A513DA" w:rsidRDefault="00CC5327" w:rsidP="00CC5327">
            <w:pPr>
              <w:jc w:val="right"/>
              <w:rPr>
                <w:b/>
                <w:bCs/>
              </w:rPr>
            </w:pPr>
          </w:p>
        </w:tc>
        <w:tc>
          <w:tcPr>
            <w:tcW w:w="1579" w:type="dxa"/>
            <w:noWrap/>
            <w:hideMark/>
          </w:tcPr>
          <w:p w14:paraId="5E4CBE86" w14:textId="2D46185D" w:rsidR="00CC5327" w:rsidRPr="00A513DA" w:rsidRDefault="00CC5327" w:rsidP="00CC5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60,74</w:t>
            </w:r>
            <w:r w:rsidRPr="00A513DA">
              <w:rPr>
                <w:b/>
                <w:bCs/>
              </w:rPr>
              <w:t>%</w:t>
            </w:r>
          </w:p>
        </w:tc>
      </w:tr>
      <w:tr w:rsidR="00CC5327" w:rsidRPr="00A513DA" w14:paraId="1C3CC7B0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52EBCAB2" w14:textId="77777777" w:rsidR="00CC5327" w:rsidRPr="00A513DA" w:rsidRDefault="00CC5327" w:rsidP="00CC5327">
            <w:r w:rsidRPr="00A513DA">
              <w:t xml:space="preserve">71 Prihodi od prodaje neproizvedene dugotrajne imovine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3ACBF7DD" w14:textId="2D490B09" w:rsidR="00CC5327" w:rsidRPr="00A513DA" w:rsidRDefault="00CC5327" w:rsidP="00CC5327">
            <w:pPr>
              <w:jc w:val="right"/>
            </w:pPr>
            <w:r w:rsidRPr="0034300F">
              <w:t>983,25</w:t>
            </w:r>
          </w:p>
        </w:tc>
        <w:tc>
          <w:tcPr>
            <w:tcW w:w="1788" w:type="dxa"/>
            <w:noWrap/>
            <w:hideMark/>
          </w:tcPr>
          <w:p w14:paraId="3DF0B406" w14:textId="36CC703F" w:rsidR="00CC5327" w:rsidRPr="0034300F" w:rsidRDefault="00CC5327" w:rsidP="00CC5327">
            <w:pPr>
              <w:jc w:val="right"/>
            </w:pPr>
            <w:r>
              <w:t>85.516,49</w:t>
            </w:r>
          </w:p>
        </w:tc>
        <w:tc>
          <w:tcPr>
            <w:tcW w:w="1579" w:type="dxa"/>
            <w:noWrap/>
            <w:hideMark/>
          </w:tcPr>
          <w:p w14:paraId="563722BE" w14:textId="4C203C7D" w:rsidR="00CC5327" w:rsidRPr="00A513DA" w:rsidRDefault="00CC5327" w:rsidP="00CC5327">
            <w:pPr>
              <w:jc w:val="center"/>
            </w:pPr>
            <w:r>
              <w:t>8.697,33</w:t>
            </w:r>
            <w:r w:rsidRPr="00A513DA">
              <w:t>%</w:t>
            </w:r>
          </w:p>
        </w:tc>
      </w:tr>
      <w:tr w:rsidR="00CC5327" w:rsidRPr="00A513DA" w14:paraId="6AB1DA1B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62C57DA8" w14:textId="77777777" w:rsidR="00CC5327" w:rsidRPr="00A513DA" w:rsidRDefault="00CC5327" w:rsidP="00CC5327">
            <w:r w:rsidRPr="00A513DA">
              <w:t xml:space="preserve">72 Prihodi od prodaje proizvedene dugotrajne imovine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4D728440" w14:textId="36CF0130" w:rsidR="00CC5327" w:rsidRPr="00A513DA" w:rsidRDefault="00CC5327" w:rsidP="00CC5327">
            <w:pPr>
              <w:jc w:val="right"/>
            </w:pPr>
            <w:r w:rsidRPr="00A513DA">
              <w:t>398,16</w:t>
            </w:r>
          </w:p>
        </w:tc>
        <w:tc>
          <w:tcPr>
            <w:tcW w:w="1788" w:type="dxa"/>
            <w:noWrap/>
            <w:hideMark/>
          </w:tcPr>
          <w:p w14:paraId="3D486C82" w14:textId="267DEBAC" w:rsidR="00CC5327" w:rsidRPr="00A513DA" w:rsidRDefault="00CC5327" w:rsidP="00CC5327">
            <w:pPr>
              <w:jc w:val="right"/>
            </w:pPr>
            <w:r>
              <w:t>364,98</w:t>
            </w:r>
          </w:p>
        </w:tc>
        <w:tc>
          <w:tcPr>
            <w:tcW w:w="1579" w:type="dxa"/>
            <w:noWrap/>
            <w:hideMark/>
          </w:tcPr>
          <w:p w14:paraId="1E77883A" w14:textId="201A26E7" w:rsidR="00CC5327" w:rsidRPr="00A513DA" w:rsidRDefault="00CC5327" w:rsidP="00CC5327">
            <w:pPr>
              <w:jc w:val="center"/>
            </w:pPr>
            <w:r>
              <w:t>91,67</w:t>
            </w:r>
            <w:r w:rsidRPr="00A513DA">
              <w:t>%</w:t>
            </w:r>
          </w:p>
        </w:tc>
      </w:tr>
    </w:tbl>
    <w:p w14:paraId="5FC28091" w14:textId="77777777" w:rsidR="00A27368" w:rsidRDefault="00A27368" w:rsidP="00A27368">
      <w:pPr>
        <w:rPr>
          <w:lang w:val="hr-HR"/>
        </w:rPr>
      </w:pPr>
    </w:p>
    <w:p w14:paraId="65374B93" w14:textId="2A6CF5C2" w:rsidR="00A27368" w:rsidRDefault="009C646A" w:rsidP="00A27368">
      <w:pPr>
        <w:rPr>
          <w:noProof/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311CDC02" wp14:editId="37DC808E">
            <wp:extent cx="8591550" cy="4381500"/>
            <wp:effectExtent l="0" t="0" r="0" b="0"/>
            <wp:docPr id="15012528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791C51" w14:textId="7BF47597" w:rsidR="009C646A" w:rsidRPr="004B3AB7" w:rsidRDefault="009C646A" w:rsidP="009C646A">
      <w:pPr>
        <w:rPr>
          <w:b/>
          <w:bCs/>
          <w:sz w:val="28"/>
          <w:szCs w:val="28"/>
          <w:u w:val="single"/>
          <w:lang w:val="hr-HR"/>
        </w:rPr>
      </w:pPr>
      <w:r w:rsidRPr="004B3AB7">
        <w:rPr>
          <w:b/>
          <w:bCs/>
          <w:sz w:val="28"/>
          <w:szCs w:val="28"/>
          <w:u w:val="single"/>
          <w:lang w:val="hr-HR"/>
        </w:rPr>
        <w:t>Obrazloženje rashoda</w:t>
      </w:r>
    </w:p>
    <w:p w14:paraId="5AE697CC" w14:textId="5FCB5FDE" w:rsidR="009C646A" w:rsidRDefault="009C646A" w:rsidP="0015150E">
      <w:pPr>
        <w:jc w:val="both"/>
        <w:rPr>
          <w:lang w:val="hr-HR"/>
        </w:rPr>
      </w:pPr>
      <w:r>
        <w:rPr>
          <w:lang w:val="hr-HR"/>
        </w:rPr>
        <w:t>Ostvareni ukupni rashodi u 202</w:t>
      </w:r>
      <w:r w:rsidR="00D66B95">
        <w:rPr>
          <w:lang w:val="hr-HR"/>
        </w:rPr>
        <w:t>5</w:t>
      </w:r>
      <w:r>
        <w:rPr>
          <w:lang w:val="hr-HR"/>
        </w:rPr>
        <w:t xml:space="preserve">. godini iznose </w:t>
      </w:r>
      <w:r w:rsidR="00D66B95">
        <w:rPr>
          <w:lang w:val="hr-HR"/>
        </w:rPr>
        <w:t>6.063.138,61</w:t>
      </w:r>
      <w:r w:rsidR="0064332C">
        <w:rPr>
          <w:lang w:val="hr-HR"/>
        </w:rPr>
        <w:t xml:space="preserve"> </w:t>
      </w:r>
      <w:r>
        <w:rPr>
          <w:lang w:val="hr-HR"/>
        </w:rPr>
        <w:t xml:space="preserve">eura </w:t>
      </w:r>
      <w:r w:rsidR="004B3AB7">
        <w:rPr>
          <w:lang w:val="hr-HR"/>
        </w:rPr>
        <w:t xml:space="preserve">i za </w:t>
      </w:r>
      <w:r w:rsidR="00D66B95">
        <w:rPr>
          <w:lang w:val="hr-HR"/>
        </w:rPr>
        <w:t>34,79</w:t>
      </w:r>
      <w:r w:rsidR="004B3AB7">
        <w:rPr>
          <w:lang w:val="hr-HR"/>
        </w:rPr>
        <w:t xml:space="preserve">% su veći u odnosu na prethodnu godinu. Ukupni rashodi su ostvarenje </w:t>
      </w:r>
      <w:r w:rsidR="00D66B95">
        <w:rPr>
          <w:lang w:val="hr-HR"/>
        </w:rPr>
        <w:t>88,02</w:t>
      </w:r>
      <w:r w:rsidR="004B3AB7">
        <w:rPr>
          <w:lang w:val="hr-HR"/>
        </w:rPr>
        <w:t xml:space="preserve">% tekućeg plana. Rashodi poslovanja iznose </w:t>
      </w:r>
      <w:r w:rsidR="00D66B95">
        <w:rPr>
          <w:lang w:val="hr-HR"/>
        </w:rPr>
        <w:t>2.819.775,71</w:t>
      </w:r>
      <w:r w:rsidR="004B3AB7">
        <w:rPr>
          <w:lang w:val="hr-HR"/>
        </w:rPr>
        <w:t xml:space="preserve"> eura i odnose se na </w:t>
      </w:r>
      <w:r w:rsidR="00D66B95">
        <w:rPr>
          <w:lang w:val="hr-HR"/>
        </w:rPr>
        <w:t>97,26</w:t>
      </w:r>
      <w:r w:rsidR="004B3AB7">
        <w:rPr>
          <w:lang w:val="hr-HR"/>
        </w:rPr>
        <w:t xml:space="preserve">% plana dok su rashodi za nabavu nefinancijske imovine realizirani u iznosu od </w:t>
      </w:r>
      <w:r w:rsidR="00D66B95">
        <w:rPr>
          <w:lang w:val="hr-HR"/>
        </w:rPr>
        <w:t>3.243.362,90</w:t>
      </w:r>
      <w:r w:rsidR="004B3AB7">
        <w:rPr>
          <w:lang w:val="hr-HR"/>
        </w:rPr>
        <w:t xml:space="preserve"> eura i čine </w:t>
      </w:r>
      <w:r w:rsidR="00D66B95">
        <w:rPr>
          <w:lang w:val="hr-HR"/>
        </w:rPr>
        <w:t>81,31</w:t>
      </w:r>
      <w:r w:rsidR="004B3AB7">
        <w:rPr>
          <w:lang w:val="hr-HR"/>
        </w:rPr>
        <w:t>% plana.</w:t>
      </w:r>
    </w:p>
    <w:p w14:paraId="0B9224E7" w14:textId="77777777" w:rsidR="004B3AB7" w:rsidRDefault="004B3AB7" w:rsidP="0015150E">
      <w:pPr>
        <w:jc w:val="both"/>
        <w:rPr>
          <w:lang w:val="hr-HR"/>
        </w:rPr>
      </w:pPr>
    </w:p>
    <w:p w14:paraId="55997CE6" w14:textId="26CB2B55" w:rsidR="004B3AB7" w:rsidRDefault="004B3AB7" w:rsidP="0015150E">
      <w:pPr>
        <w:jc w:val="both"/>
        <w:rPr>
          <w:lang w:val="hr-HR"/>
        </w:rPr>
      </w:pPr>
      <w:r w:rsidRPr="00FF192E">
        <w:rPr>
          <w:b/>
          <w:bCs/>
          <w:u w:val="single"/>
          <w:lang w:val="hr-HR"/>
        </w:rPr>
        <w:t>Rashodi za zaposlene</w:t>
      </w:r>
      <w:r>
        <w:rPr>
          <w:lang w:val="hr-HR"/>
        </w:rPr>
        <w:t xml:space="preserve"> u 202</w:t>
      </w:r>
      <w:r w:rsidR="00D66B95">
        <w:rPr>
          <w:lang w:val="hr-HR"/>
        </w:rPr>
        <w:t>5</w:t>
      </w:r>
      <w:r>
        <w:rPr>
          <w:lang w:val="hr-HR"/>
        </w:rPr>
        <w:t xml:space="preserve">. godini su realizirani u iznosu od </w:t>
      </w:r>
      <w:r w:rsidR="00D66B95">
        <w:rPr>
          <w:lang w:val="hr-HR"/>
        </w:rPr>
        <w:t>589.748,46</w:t>
      </w:r>
      <w:r>
        <w:rPr>
          <w:lang w:val="hr-HR"/>
        </w:rPr>
        <w:t xml:space="preserve"> eur</w:t>
      </w:r>
      <w:r w:rsidR="00D76274">
        <w:rPr>
          <w:lang w:val="hr-HR"/>
        </w:rPr>
        <w:t>a</w:t>
      </w:r>
      <w:r>
        <w:rPr>
          <w:lang w:val="hr-HR"/>
        </w:rPr>
        <w:t xml:space="preserve"> što je </w:t>
      </w:r>
      <w:r w:rsidR="00D66B95">
        <w:rPr>
          <w:lang w:val="hr-HR"/>
        </w:rPr>
        <w:t>23,35</w:t>
      </w:r>
      <w:r>
        <w:rPr>
          <w:lang w:val="hr-HR"/>
        </w:rPr>
        <w:t>% više nego u 202</w:t>
      </w:r>
      <w:r w:rsidR="00D66B95">
        <w:rPr>
          <w:lang w:val="hr-HR"/>
        </w:rPr>
        <w:t>4</w:t>
      </w:r>
      <w:r>
        <w:rPr>
          <w:lang w:val="hr-HR"/>
        </w:rPr>
        <w:t>. godini. Rashodi za zaposlene obuhvaćaju troškove plaće za redovan rad zaposlenih u Općini Dubrava i u Dječjem vrtiću Dubrava. Općina Dubrava je na dan 31.12.202</w:t>
      </w:r>
      <w:r w:rsidR="00D66B95">
        <w:rPr>
          <w:lang w:val="hr-HR"/>
        </w:rPr>
        <w:t>5</w:t>
      </w:r>
      <w:r>
        <w:rPr>
          <w:lang w:val="hr-HR"/>
        </w:rPr>
        <w:t xml:space="preserve">. imala 8 zaposlenih, a Dječji vrtić </w:t>
      </w:r>
      <w:r>
        <w:rPr>
          <w:lang w:val="hr-HR"/>
        </w:rPr>
        <w:lastRenderedPageBreak/>
        <w:t xml:space="preserve">Dubrava </w:t>
      </w:r>
      <w:r w:rsidR="00D66B95">
        <w:rPr>
          <w:lang w:val="hr-HR"/>
        </w:rPr>
        <w:t>25</w:t>
      </w:r>
      <w:r>
        <w:rPr>
          <w:lang w:val="hr-HR"/>
        </w:rPr>
        <w:t>. Visina plaće i materijalnih prava zaposlenih u Dječjem vrtiću Dubrava definirani su kolektivnim ugovorom.</w:t>
      </w:r>
      <w:r w:rsidR="00350912">
        <w:rPr>
          <w:lang w:val="hr-HR"/>
        </w:rPr>
        <w:t xml:space="preserve"> U 202</w:t>
      </w:r>
      <w:r w:rsidR="00D66B95">
        <w:rPr>
          <w:lang w:val="hr-HR"/>
        </w:rPr>
        <w:t>5</w:t>
      </w:r>
      <w:r w:rsidR="00350912">
        <w:rPr>
          <w:lang w:val="hr-HR"/>
        </w:rPr>
        <w:t xml:space="preserve">. godini </w:t>
      </w:r>
      <w:r w:rsidR="00AD48BE">
        <w:rPr>
          <w:lang w:val="hr-HR"/>
        </w:rPr>
        <w:t xml:space="preserve">usklađena je osnovica za obračun plaće za djelatnice vrtića s osnovicom zaposlenih u javnim službama te su neki koeficijenti usklađeni s Uredbom </w:t>
      </w:r>
      <w:r w:rsidR="00AD48BE" w:rsidRPr="00AD48BE">
        <w:rPr>
          <w:lang w:val="hr-HR"/>
        </w:rPr>
        <w:t>o nazivima radnih mjesta i koeficijentima složenosti poslova u državnoj službi</w:t>
      </w:r>
      <w:r w:rsidR="00AD48BE">
        <w:rPr>
          <w:lang w:val="hr-HR"/>
        </w:rPr>
        <w:t>.</w:t>
      </w:r>
    </w:p>
    <w:p w14:paraId="32F6E86B" w14:textId="77777777" w:rsidR="00FF192E" w:rsidRDefault="00FF192E" w:rsidP="0015150E">
      <w:pPr>
        <w:jc w:val="both"/>
        <w:rPr>
          <w:lang w:val="hr-HR"/>
        </w:rPr>
      </w:pPr>
    </w:p>
    <w:p w14:paraId="1FEC811B" w14:textId="3183F07B" w:rsidR="00FF192E" w:rsidRDefault="00FF192E" w:rsidP="0015150E">
      <w:pPr>
        <w:jc w:val="both"/>
        <w:rPr>
          <w:lang w:val="hr-HR"/>
        </w:rPr>
      </w:pPr>
      <w:r w:rsidRPr="00FF192E">
        <w:rPr>
          <w:b/>
          <w:bCs/>
          <w:u w:val="single"/>
          <w:lang w:val="hr-HR"/>
        </w:rPr>
        <w:t>Materijalni rashodi</w:t>
      </w:r>
      <w:r>
        <w:rPr>
          <w:lang w:val="hr-HR"/>
        </w:rPr>
        <w:t xml:space="preserve"> su vrijednosno najznačajniji rashodi s ostvarenim iznosom </w:t>
      </w:r>
      <w:r w:rsidR="001D608A">
        <w:rPr>
          <w:lang w:val="hr-HR"/>
        </w:rPr>
        <w:t>1.375.694,30</w:t>
      </w:r>
      <w:r>
        <w:rPr>
          <w:lang w:val="hr-HR"/>
        </w:rPr>
        <w:t xml:space="preserve"> eura. Oni su realizirani u </w:t>
      </w:r>
      <w:r w:rsidR="001D608A">
        <w:rPr>
          <w:lang w:val="hr-HR"/>
        </w:rPr>
        <w:t>15,05</w:t>
      </w:r>
      <w:r>
        <w:rPr>
          <w:lang w:val="hr-HR"/>
        </w:rPr>
        <w:t>% većem iznosu nego prethodne godine. U materijalne rashode spadaju svi materijalni troškovi; naknade troškova zaposlenima</w:t>
      </w:r>
      <w:r w:rsidR="008B5A72">
        <w:rPr>
          <w:lang w:val="hr-HR"/>
        </w:rPr>
        <w:t xml:space="preserve"> </w:t>
      </w:r>
      <w:r w:rsidR="001D608A">
        <w:rPr>
          <w:lang w:val="hr-HR"/>
        </w:rPr>
        <w:t>27.279,35</w:t>
      </w:r>
      <w:r w:rsidR="008B5A72">
        <w:rPr>
          <w:lang w:val="hr-HR"/>
        </w:rPr>
        <w:t xml:space="preserve"> eura</w:t>
      </w:r>
      <w:r>
        <w:rPr>
          <w:lang w:val="hr-HR"/>
        </w:rPr>
        <w:t>, materijal i energija</w:t>
      </w:r>
      <w:r w:rsidR="008B5A72">
        <w:rPr>
          <w:lang w:val="hr-HR"/>
        </w:rPr>
        <w:t xml:space="preserve"> </w:t>
      </w:r>
      <w:r w:rsidR="001D608A">
        <w:rPr>
          <w:lang w:val="hr-HR"/>
        </w:rPr>
        <w:t>177.969,43</w:t>
      </w:r>
      <w:r w:rsidR="008B5A72">
        <w:rPr>
          <w:lang w:val="hr-HR"/>
        </w:rPr>
        <w:t xml:space="preserve"> eura</w:t>
      </w:r>
      <w:r>
        <w:rPr>
          <w:lang w:val="hr-HR"/>
        </w:rPr>
        <w:t>, rashodi za usluge</w:t>
      </w:r>
      <w:r w:rsidR="008B5A72">
        <w:rPr>
          <w:lang w:val="hr-HR"/>
        </w:rPr>
        <w:t xml:space="preserve"> </w:t>
      </w:r>
      <w:r w:rsidR="001D608A">
        <w:rPr>
          <w:lang w:val="hr-HR"/>
        </w:rPr>
        <w:t>1.057.621,46</w:t>
      </w:r>
      <w:r w:rsidR="008B5A72">
        <w:rPr>
          <w:lang w:val="hr-HR"/>
        </w:rPr>
        <w:t xml:space="preserve"> eura </w:t>
      </w:r>
      <w:r>
        <w:rPr>
          <w:lang w:val="hr-HR"/>
        </w:rPr>
        <w:t>i ostali nespomenuti rashodi poslovanja</w:t>
      </w:r>
      <w:r w:rsidR="008B5A72">
        <w:rPr>
          <w:lang w:val="hr-HR"/>
        </w:rPr>
        <w:t xml:space="preserve"> </w:t>
      </w:r>
      <w:r w:rsidR="001D608A">
        <w:rPr>
          <w:lang w:val="hr-HR"/>
        </w:rPr>
        <w:t>112.824,06</w:t>
      </w:r>
      <w:r w:rsidR="008B5A72">
        <w:rPr>
          <w:lang w:val="hr-HR"/>
        </w:rPr>
        <w:t xml:space="preserve"> eura</w:t>
      </w:r>
      <w:r>
        <w:rPr>
          <w:lang w:val="hr-HR"/>
        </w:rPr>
        <w:t xml:space="preserve">. Unutar materijalnih rashoda najveći udio zauzimaju rashodi za usluge s iznosom </w:t>
      </w:r>
      <w:r w:rsidR="001D608A">
        <w:rPr>
          <w:lang w:val="hr-HR"/>
        </w:rPr>
        <w:t>1.057.621,46</w:t>
      </w:r>
      <w:r>
        <w:rPr>
          <w:lang w:val="hr-HR"/>
        </w:rPr>
        <w:t xml:space="preserve"> eura</w:t>
      </w:r>
      <w:r w:rsidR="008B5A72">
        <w:rPr>
          <w:lang w:val="hr-HR"/>
        </w:rPr>
        <w:t xml:space="preserve"> i oni su za </w:t>
      </w:r>
      <w:r w:rsidR="001D608A">
        <w:rPr>
          <w:lang w:val="hr-HR"/>
        </w:rPr>
        <w:t>16,33</w:t>
      </w:r>
      <w:r w:rsidR="008B5A72">
        <w:rPr>
          <w:lang w:val="hr-HR"/>
        </w:rPr>
        <w:t>% veći nego u 202</w:t>
      </w:r>
      <w:r w:rsidR="001D608A">
        <w:rPr>
          <w:lang w:val="hr-HR"/>
        </w:rPr>
        <w:t>4</w:t>
      </w:r>
      <w:r w:rsidR="008B5A72">
        <w:rPr>
          <w:lang w:val="hr-HR"/>
        </w:rPr>
        <w:t>. godin</w:t>
      </w:r>
      <w:r w:rsidR="00F50945">
        <w:rPr>
          <w:lang w:val="hr-HR"/>
        </w:rPr>
        <w:t>i</w:t>
      </w:r>
      <w:r w:rsidR="008B5A72">
        <w:rPr>
          <w:lang w:val="hr-HR"/>
        </w:rPr>
        <w:t>.</w:t>
      </w:r>
    </w:p>
    <w:p w14:paraId="2CC73F3A" w14:textId="77777777" w:rsidR="008B5A72" w:rsidRDefault="008B5A72" w:rsidP="0015150E">
      <w:pPr>
        <w:jc w:val="both"/>
        <w:rPr>
          <w:lang w:val="hr-HR"/>
        </w:rPr>
      </w:pPr>
    </w:p>
    <w:p w14:paraId="67E83003" w14:textId="3CA1D08F" w:rsidR="008B5A72" w:rsidRDefault="008B5A72" w:rsidP="0015150E">
      <w:pPr>
        <w:jc w:val="both"/>
        <w:rPr>
          <w:lang w:val="hr-HR"/>
        </w:rPr>
      </w:pPr>
      <w:r w:rsidRPr="008B5A72">
        <w:rPr>
          <w:b/>
          <w:bCs/>
          <w:u w:val="single"/>
          <w:lang w:val="hr-HR"/>
        </w:rPr>
        <w:t>Financijski rashodi</w:t>
      </w:r>
      <w:r>
        <w:rPr>
          <w:lang w:val="hr-HR"/>
        </w:rPr>
        <w:t xml:space="preserve"> ostvareni u iznosu od </w:t>
      </w:r>
      <w:r w:rsidR="001D608A">
        <w:rPr>
          <w:lang w:val="hr-HR"/>
        </w:rPr>
        <w:t>54.242,26</w:t>
      </w:r>
      <w:r>
        <w:rPr>
          <w:lang w:val="hr-HR"/>
        </w:rPr>
        <w:t xml:space="preserve"> eura su za </w:t>
      </w:r>
      <w:r w:rsidR="001D608A">
        <w:rPr>
          <w:lang w:val="hr-HR"/>
        </w:rPr>
        <w:t>32,32</w:t>
      </w:r>
      <w:r>
        <w:rPr>
          <w:lang w:val="hr-HR"/>
        </w:rPr>
        <w:t xml:space="preserve">% veći nego u prethodnoj godini, a odnose se na kamate </w:t>
      </w:r>
      <w:r w:rsidR="001D608A">
        <w:rPr>
          <w:lang w:val="hr-HR"/>
        </w:rPr>
        <w:t>za zajmove (interkalarna kamata kredita za vrtić</w:t>
      </w:r>
      <w:r w:rsidR="00EA6AF0">
        <w:rPr>
          <w:lang w:val="hr-HR"/>
        </w:rPr>
        <w:t>e</w:t>
      </w:r>
      <w:r w:rsidR="001D608A">
        <w:rPr>
          <w:lang w:val="hr-HR"/>
        </w:rPr>
        <w:t xml:space="preserve"> i  sudjelovanje u otplatama kredita Komunalca Vrbovec d.o.o.) 46.632,91 e</w:t>
      </w:r>
      <w:r w:rsidR="00EA6AF0">
        <w:rPr>
          <w:lang w:val="hr-HR"/>
        </w:rPr>
        <w:t>ura</w:t>
      </w:r>
      <w:r>
        <w:rPr>
          <w:lang w:val="hr-HR"/>
        </w:rPr>
        <w:t xml:space="preserve">, troškove platnog prometa </w:t>
      </w:r>
      <w:r w:rsidR="001D608A">
        <w:rPr>
          <w:lang w:val="hr-HR"/>
        </w:rPr>
        <w:t>1.940,53</w:t>
      </w:r>
      <w:r w:rsidR="00EA6AF0">
        <w:rPr>
          <w:lang w:val="hr-HR"/>
        </w:rPr>
        <w:t xml:space="preserve"> eura </w:t>
      </w:r>
      <w:r>
        <w:rPr>
          <w:lang w:val="hr-HR"/>
        </w:rPr>
        <w:t xml:space="preserve">i ostale financijske troškove koji su ostvareni u iznosu od </w:t>
      </w:r>
      <w:r w:rsidR="001D608A">
        <w:rPr>
          <w:lang w:val="hr-HR"/>
        </w:rPr>
        <w:t>5.668,82</w:t>
      </w:r>
      <w:r>
        <w:rPr>
          <w:lang w:val="hr-HR"/>
        </w:rPr>
        <w:t xml:space="preserve"> eur</w:t>
      </w:r>
      <w:r w:rsidR="00EA6AF0">
        <w:rPr>
          <w:lang w:val="hr-HR"/>
        </w:rPr>
        <w:t>a</w:t>
      </w:r>
      <w:r>
        <w:rPr>
          <w:lang w:val="hr-HR"/>
        </w:rPr>
        <w:t xml:space="preserve"> što je </w:t>
      </w:r>
      <w:r w:rsidR="001D608A">
        <w:rPr>
          <w:lang w:val="hr-HR"/>
        </w:rPr>
        <w:t xml:space="preserve">za </w:t>
      </w:r>
      <w:r w:rsidR="00F50945">
        <w:rPr>
          <w:lang w:val="hr-HR"/>
        </w:rPr>
        <w:t>83,42</w:t>
      </w:r>
      <w:r>
        <w:rPr>
          <w:lang w:val="hr-HR"/>
        </w:rPr>
        <w:t xml:space="preserve">% </w:t>
      </w:r>
      <w:r w:rsidR="00F50945">
        <w:rPr>
          <w:lang w:val="hr-HR"/>
        </w:rPr>
        <w:t>manje</w:t>
      </w:r>
      <w:r>
        <w:rPr>
          <w:lang w:val="hr-HR"/>
        </w:rPr>
        <w:t xml:space="preserve"> nego u 202</w:t>
      </w:r>
      <w:r w:rsidR="00F50945">
        <w:rPr>
          <w:lang w:val="hr-HR"/>
        </w:rPr>
        <w:t>4</w:t>
      </w:r>
      <w:r>
        <w:rPr>
          <w:lang w:val="hr-HR"/>
        </w:rPr>
        <w:t xml:space="preserve">. godini iz razloga što je </w:t>
      </w:r>
      <w:r w:rsidR="00EA6AF0">
        <w:rPr>
          <w:lang w:val="hr-HR"/>
        </w:rPr>
        <w:t>u 2024. godini izvršen povrat pomoći u državni proračun koja je bila ostvarena za šumsku cestu iz ranijih godina</w:t>
      </w:r>
      <w:r>
        <w:rPr>
          <w:lang w:val="hr-HR"/>
        </w:rPr>
        <w:t xml:space="preserve">. </w:t>
      </w:r>
    </w:p>
    <w:p w14:paraId="7A3C7370" w14:textId="77777777" w:rsidR="008B5A72" w:rsidRDefault="008B5A72" w:rsidP="0015150E">
      <w:pPr>
        <w:jc w:val="both"/>
        <w:rPr>
          <w:lang w:val="hr-HR"/>
        </w:rPr>
      </w:pPr>
    </w:p>
    <w:p w14:paraId="48BB57F3" w14:textId="2B2ECE16" w:rsidR="00EA6AF0" w:rsidRDefault="008B5A72" w:rsidP="0015150E">
      <w:pPr>
        <w:jc w:val="both"/>
        <w:rPr>
          <w:lang w:val="hr-HR"/>
        </w:rPr>
      </w:pPr>
      <w:r w:rsidRPr="008B5A72">
        <w:rPr>
          <w:b/>
          <w:bCs/>
          <w:u w:val="single"/>
          <w:lang w:val="hr-HR"/>
        </w:rPr>
        <w:t>Subvencije</w:t>
      </w:r>
      <w:r>
        <w:rPr>
          <w:lang w:val="hr-HR"/>
        </w:rPr>
        <w:t xml:space="preserve"> realizirane u iznosu od </w:t>
      </w:r>
      <w:r w:rsidR="00F50945">
        <w:rPr>
          <w:lang w:val="hr-HR"/>
        </w:rPr>
        <w:t>6.750,00</w:t>
      </w:r>
      <w:r>
        <w:rPr>
          <w:lang w:val="hr-HR"/>
        </w:rPr>
        <w:t xml:space="preserve"> eura odnose se na </w:t>
      </w:r>
      <w:r w:rsidR="00EA6AF0">
        <w:rPr>
          <w:lang w:val="hr-HR"/>
        </w:rPr>
        <w:t>sufinanciranje škole plivanja u Nerezinama djece s područja općine Dubrava poduzeću Gradski objekti Vrbovec d.o.o.</w:t>
      </w:r>
    </w:p>
    <w:p w14:paraId="7C6D8C25" w14:textId="77777777" w:rsidR="00EA6AF0" w:rsidRDefault="00EA6AF0" w:rsidP="0015150E">
      <w:pPr>
        <w:jc w:val="both"/>
        <w:rPr>
          <w:b/>
          <w:bCs/>
          <w:u w:val="single"/>
          <w:lang w:val="hr-HR"/>
        </w:rPr>
      </w:pPr>
    </w:p>
    <w:p w14:paraId="16C09BB2" w14:textId="55417B77" w:rsidR="008B5A72" w:rsidRDefault="008B5A72" w:rsidP="0015150E">
      <w:pPr>
        <w:jc w:val="both"/>
        <w:rPr>
          <w:lang w:val="hr-HR"/>
        </w:rPr>
      </w:pPr>
      <w:r w:rsidRPr="001645F8">
        <w:rPr>
          <w:b/>
          <w:bCs/>
          <w:u w:val="single"/>
          <w:lang w:val="hr-HR"/>
        </w:rPr>
        <w:t>Pomoći dane u inozemstvo i unutar općeg proračuna</w:t>
      </w:r>
      <w:r>
        <w:rPr>
          <w:lang w:val="hr-HR"/>
        </w:rPr>
        <w:t xml:space="preserve"> odnose se na tekuće pomoći proračunskim korisnicima drugih proračuna i to za sufinanciranje smještaja djece s područja općine Dubrava u dječjim vrtićima izvan DV Dubrava</w:t>
      </w:r>
      <w:r w:rsidR="001645F8">
        <w:rPr>
          <w:lang w:val="hr-HR"/>
        </w:rPr>
        <w:t xml:space="preserve"> i sufinanciranje smještaja učenika srednjih škola u učeničkim domovima te financiranje izvannastavnih aktivnosti učenika u OŠ Dubrava. Tekuće pomoći proračunskim korisnicima drugih proračuna su realizirane u iznosu od </w:t>
      </w:r>
      <w:r w:rsidR="00F50945">
        <w:rPr>
          <w:lang w:val="hr-HR"/>
        </w:rPr>
        <w:t>66.330,61</w:t>
      </w:r>
      <w:r w:rsidR="001645F8">
        <w:rPr>
          <w:lang w:val="hr-HR"/>
        </w:rPr>
        <w:t xml:space="preserve"> eur</w:t>
      </w:r>
      <w:r w:rsidR="00EA6AF0">
        <w:rPr>
          <w:lang w:val="hr-HR"/>
        </w:rPr>
        <w:t>o</w:t>
      </w:r>
      <w:r w:rsidR="001645F8">
        <w:rPr>
          <w:lang w:val="hr-HR"/>
        </w:rPr>
        <w:t>.</w:t>
      </w:r>
    </w:p>
    <w:p w14:paraId="2918111E" w14:textId="77777777" w:rsidR="001645F8" w:rsidRDefault="001645F8" w:rsidP="0015150E">
      <w:pPr>
        <w:jc w:val="both"/>
        <w:rPr>
          <w:lang w:val="hr-HR"/>
        </w:rPr>
      </w:pPr>
    </w:p>
    <w:p w14:paraId="35FC2EC1" w14:textId="56F6E0ED" w:rsidR="001645F8" w:rsidRDefault="001645F8" w:rsidP="0015150E">
      <w:pPr>
        <w:jc w:val="both"/>
        <w:rPr>
          <w:lang w:val="hr-HR"/>
        </w:rPr>
      </w:pPr>
      <w:r w:rsidRPr="001645F8">
        <w:rPr>
          <w:b/>
          <w:bCs/>
          <w:u w:val="single"/>
          <w:lang w:val="hr-HR"/>
        </w:rPr>
        <w:t>Naknade građanima i kućanstvima</w:t>
      </w:r>
      <w:r>
        <w:rPr>
          <w:lang w:val="hr-HR"/>
        </w:rPr>
        <w:t xml:space="preserve"> ostvarene su u iznosu </w:t>
      </w:r>
      <w:r w:rsidR="00F50945">
        <w:rPr>
          <w:lang w:val="hr-HR"/>
        </w:rPr>
        <w:t>409.880,54</w:t>
      </w:r>
      <w:r>
        <w:rPr>
          <w:lang w:val="hr-HR"/>
        </w:rPr>
        <w:t xml:space="preserve"> eura i za </w:t>
      </w:r>
      <w:r w:rsidR="00F50945">
        <w:rPr>
          <w:lang w:val="hr-HR"/>
        </w:rPr>
        <w:t>40,21</w:t>
      </w:r>
      <w:r>
        <w:rPr>
          <w:lang w:val="hr-HR"/>
        </w:rPr>
        <w:t xml:space="preserve">% su </w:t>
      </w:r>
      <w:r w:rsidR="00EA6AF0">
        <w:rPr>
          <w:lang w:val="hr-HR"/>
        </w:rPr>
        <w:t>veće</w:t>
      </w:r>
      <w:r>
        <w:rPr>
          <w:lang w:val="hr-HR"/>
        </w:rPr>
        <w:t xml:space="preserve"> nego prethodne godine. U novcu građanima i kućanstvima je isplaćeno </w:t>
      </w:r>
      <w:r w:rsidR="00F50945">
        <w:rPr>
          <w:lang w:val="hr-HR"/>
        </w:rPr>
        <w:t>322.339,25</w:t>
      </w:r>
      <w:r>
        <w:rPr>
          <w:lang w:val="hr-HR"/>
        </w:rPr>
        <w:t xml:space="preserve"> eura naknada dok je u naravi </w:t>
      </w:r>
      <w:r w:rsidR="00F50945">
        <w:rPr>
          <w:lang w:val="hr-HR"/>
        </w:rPr>
        <w:t>87.541,29</w:t>
      </w:r>
      <w:r>
        <w:rPr>
          <w:lang w:val="hr-HR"/>
        </w:rPr>
        <w:t xml:space="preserve"> eura. Naknade građanima i kućanstvima odnose se na pomoći iz programa socijalnih </w:t>
      </w:r>
      <w:r w:rsidR="001D62E2">
        <w:rPr>
          <w:lang w:val="hr-HR"/>
        </w:rPr>
        <w:t xml:space="preserve">potreba </w:t>
      </w:r>
      <w:r w:rsidR="00EA6AF0">
        <w:rPr>
          <w:lang w:val="hr-HR"/>
        </w:rPr>
        <w:t xml:space="preserve">- </w:t>
      </w:r>
      <w:r w:rsidR="001D62E2">
        <w:rPr>
          <w:lang w:val="hr-HR"/>
        </w:rPr>
        <w:t xml:space="preserve">naknade za novorođenčad, </w:t>
      </w:r>
      <w:r w:rsidR="00EA6AF0">
        <w:rPr>
          <w:lang w:val="hr-HR"/>
        </w:rPr>
        <w:t xml:space="preserve">uskrsnice i </w:t>
      </w:r>
      <w:r w:rsidR="001D62E2">
        <w:rPr>
          <w:lang w:val="hr-HR"/>
        </w:rPr>
        <w:t>božićnice umirovljenicima, nezaposlenima, korisnicima zajamčene minimalne naknade</w:t>
      </w:r>
      <w:r w:rsidR="00EA6AF0">
        <w:rPr>
          <w:lang w:val="hr-HR"/>
        </w:rPr>
        <w:t>, djeci korisnicima osobne invalidnine</w:t>
      </w:r>
      <w:r w:rsidR="001D62E2">
        <w:rPr>
          <w:lang w:val="hr-HR"/>
        </w:rPr>
        <w:t xml:space="preserve"> te učenicima srednjih škola, troškove stanovanja socijalno ugroženih osoba, troškove subvencioniranja prijevoza učenika srednjih škola i naknade studentima po upisanom semestru.</w:t>
      </w:r>
    </w:p>
    <w:p w14:paraId="638618F9" w14:textId="77777777" w:rsidR="001D62E2" w:rsidRDefault="001D62E2" w:rsidP="0015150E">
      <w:pPr>
        <w:jc w:val="both"/>
        <w:rPr>
          <w:lang w:val="hr-HR"/>
        </w:rPr>
      </w:pPr>
    </w:p>
    <w:p w14:paraId="7BF2BF3E" w14:textId="0F0EFF18" w:rsidR="001D62E2" w:rsidRDefault="001D62E2" w:rsidP="0015150E">
      <w:pPr>
        <w:jc w:val="both"/>
        <w:rPr>
          <w:lang w:val="hr-HR"/>
        </w:rPr>
      </w:pPr>
      <w:r w:rsidRPr="001D62E2">
        <w:rPr>
          <w:b/>
          <w:bCs/>
          <w:u w:val="single"/>
          <w:lang w:val="hr-HR"/>
        </w:rPr>
        <w:lastRenderedPageBreak/>
        <w:t>Ostali rashodi</w:t>
      </w:r>
      <w:r>
        <w:rPr>
          <w:lang w:val="hr-HR"/>
        </w:rPr>
        <w:t xml:space="preserve"> ostvareni su u iznosu</w:t>
      </w:r>
      <w:r w:rsidR="00EA6AF0">
        <w:rPr>
          <w:lang w:val="hr-HR"/>
        </w:rPr>
        <w:t xml:space="preserve"> </w:t>
      </w:r>
      <w:r w:rsidR="00F50945">
        <w:rPr>
          <w:lang w:val="hr-HR"/>
        </w:rPr>
        <w:t>317.129,54</w:t>
      </w:r>
      <w:r>
        <w:rPr>
          <w:lang w:val="hr-HR"/>
        </w:rPr>
        <w:t xml:space="preserve"> eura i </w:t>
      </w:r>
      <w:r w:rsidR="00B522EF">
        <w:rPr>
          <w:lang w:val="hr-HR"/>
        </w:rPr>
        <w:t>2,86</w:t>
      </w:r>
      <w:r>
        <w:rPr>
          <w:lang w:val="hr-HR"/>
        </w:rPr>
        <w:t>% su viši nego u prethodnoj godini. Oni se odnose na tekuće i kapitalne donacije</w:t>
      </w:r>
      <w:r w:rsidR="00B522EF">
        <w:rPr>
          <w:lang w:val="hr-HR"/>
        </w:rPr>
        <w:t>,</w:t>
      </w:r>
      <w:r>
        <w:rPr>
          <w:lang w:val="hr-HR"/>
        </w:rPr>
        <w:t xml:space="preserve"> a podrazumijevaju donacije udrugama, zajednicama i ostalim institucijama kako slijedi: </w:t>
      </w:r>
    </w:p>
    <w:p w14:paraId="13455A41" w14:textId="7DA1D86D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1. Političke stranke </w:t>
      </w:r>
      <w:r w:rsidR="00823E86">
        <w:rPr>
          <w:rFonts w:cstheme="minorHAnsi"/>
        </w:rPr>
        <w:t xml:space="preserve">2.845,68 </w:t>
      </w:r>
      <w:r>
        <w:rPr>
          <w:rFonts w:cstheme="minorHAnsi"/>
        </w:rPr>
        <w:t>eura</w:t>
      </w:r>
    </w:p>
    <w:p w14:paraId="66A42D21" w14:textId="50A381A2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2. Češka beseda </w:t>
      </w:r>
      <w:r w:rsidR="00823E86">
        <w:rPr>
          <w:rFonts w:cstheme="minorHAnsi"/>
        </w:rPr>
        <w:t xml:space="preserve">4.000,00 </w:t>
      </w:r>
      <w:r>
        <w:rPr>
          <w:rFonts w:cstheme="minorHAnsi"/>
        </w:rPr>
        <w:t>eura</w:t>
      </w:r>
    </w:p>
    <w:p w14:paraId="436429B3" w14:textId="029DA1B4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3. Vatrogasna zajednica </w:t>
      </w:r>
      <w:r w:rsidR="005A26AD">
        <w:rPr>
          <w:rFonts w:cstheme="minorHAnsi"/>
        </w:rPr>
        <w:t xml:space="preserve">104.500,00 </w:t>
      </w:r>
      <w:r>
        <w:rPr>
          <w:rFonts w:cstheme="minorHAnsi"/>
        </w:rPr>
        <w:t>eura</w:t>
      </w:r>
    </w:p>
    <w:p w14:paraId="74A08247" w14:textId="02070438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4. Udruga umirovljenika </w:t>
      </w:r>
      <w:r w:rsidR="00823E86">
        <w:rPr>
          <w:rFonts w:cstheme="minorHAnsi"/>
        </w:rPr>
        <w:t xml:space="preserve">3.000,00 </w:t>
      </w:r>
      <w:r>
        <w:rPr>
          <w:rFonts w:cstheme="minorHAnsi"/>
        </w:rPr>
        <w:t>eura</w:t>
      </w:r>
    </w:p>
    <w:p w14:paraId="4CB2DE38" w14:textId="4A55DF97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5. Blok umirovljenika </w:t>
      </w:r>
      <w:r w:rsidR="00823E86">
        <w:rPr>
          <w:rFonts w:cstheme="minorHAnsi"/>
        </w:rPr>
        <w:t xml:space="preserve">3.000,00 </w:t>
      </w:r>
      <w:r>
        <w:rPr>
          <w:rFonts w:cstheme="minorHAnsi"/>
        </w:rPr>
        <w:t>eura</w:t>
      </w:r>
    </w:p>
    <w:p w14:paraId="0503F113" w14:textId="2FD07575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6. Crveni križ Vrbovec </w:t>
      </w:r>
      <w:r w:rsidR="005A26AD">
        <w:rPr>
          <w:rFonts w:cstheme="minorHAnsi"/>
        </w:rPr>
        <w:t xml:space="preserve">10.099,97 </w:t>
      </w:r>
      <w:r>
        <w:rPr>
          <w:rFonts w:cstheme="minorHAnsi"/>
        </w:rPr>
        <w:t xml:space="preserve">eura </w:t>
      </w:r>
    </w:p>
    <w:p w14:paraId="03441A82" w14:textId="786AAD9E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7. Udruga žena oboljelih od raka dojke </w:t>
      </w:r>
      <w:r w:rsidR="00823E86">
        <w:rPr>
          <w:rFonts w:cstheme="minorHAnsi"/>
        </w:rPr>
        <w:t xml:space="preserve">2.500,00 </w:t>
      </w:r>
      <w:r>
        <w:rPr>
          <w:rFonts w:cstheme="minorHAnsi"/>
        </w:rPr>
        <w:t>eura</w:t>
      </w:r>
    </w:p>
    <w:p w14:paraId="66B98DF8" w14:textId="556C76A9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8. Udruga žena općine Dubrava </w:t>
      </w:r>
      <w:r w:rsidR="00823E86">
        <w:rPr>
          <w:rFonts w:cstheme="minorHAnsi"/>
        </w:rPr>
        <w:t xml:space="preserve">2.500,00 </w:t>
      </w:r>
      <w:r>
        <w:rPr>
          <w:rFonts w:cstheme="minorHAnsi"/>
        </w:rPr>
        <w:t>eura</w:t>
      </w:r>
    </w:p>
    <w:p w14:paraId="77884B65" w14:textId="45BA014A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9. Kulturna udruga sv. Martin </w:t>
      </w:r>
      <w:r w:rsidR="00823E86">
        <w:rPr>
          <w:rFonts w:cstheme="minorHAnsi"/>
        </w:rPr>
        <w:t xml:space="preserve">2.500,00 </w:t>
      </w:r>
      <w:r>
        <w:rPr>
          <w:rFonts w:cstheme="minorHAnsi"/>
        </w:rPr>
        <w:t>eura</w:t>
      </w:r>
    </w:p>
    <w:p w14:paraId="42C14C8A" w14:textId="0E4F873F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10. Športska zajednica </w:t>
      </w:r>
      <w:r w:rsidR="005A26AD">
        <w:rPr>
          <w:rFonts w:cstheme="minorHAnsi"/>
        </w:rPr>
        <w:t xml:space="preserve">133.093,48 </w:t>
      </w:r>
      <w:r>
        <w:rPr>
          <w:rFonts w:cstheme="minorHAnsi"/>
        </w:rPr>
        <w:t>eura</w:t>
      </w:r>
    </w:p>
    <w:p w14:paraId="0CA224E0" w14:textId="72687ABF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11. Udruga autizam </w:t>
      </w:r>
      <w:r w:rsidR="00823E86">
        <w:rPr>
          <w:rFonts w:cstheme="minorHAnsi"/>
        </w:rPr>
        <w:t xml:space="preserve">1.000,00 </w:t>
      </w:r>
      <w:r>
        <w:rPr>
          <w:rFonts w:cstheme="minorHAnsi"/>
        </w:rPr>
        <w:t>eura</w:t>
      </w:r>
    </w:p>
    <w:p w14:paraId="436D5794" w14:textId="2C00C567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12. HVIDRA </w:t>
      </w:r>
      <w:r w:rsidR="00823E86">
        <w:rPr>
          <w:rFonts w:cstheme="minorHAnsi"/>
        </w:rPr>
        <w:t xml:space="preserve">1.000,00 </w:t>
      </w:r>
      <w:r>
        <w:rPr>
          <w:rFonts w:cstheme="minorHAnsi"/>
        </w:rPr>
        <w:t xml:space="preserve">eura </w:t>
      </w:r>
    </w:p>
    <w:p w14:paraId="54C59711" w14:textId="670EF1AA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13. </w:t>
      </w:r>
      <w:r w:rsidR="005A26AD">
        <w:rPr>
          <w:rFonts w:cstheme="minorHAnsi"/>
        </w:rPr>
        <w:t>Savez uzgajivača simentalskog goveda Zagrebačke županije 200,00</w:t>
      </w:r>
      <w:r>
        <w:rPr>
          <w:rFonts w:cstheme="minorHAnsi"/>
        </w:rPr>
        <w:t xml:space="preserve"> eura</w:t>
      </w:r>
    </w:p>
    <w:p w14:paraId="3B4139E6" w14:textId="0EEBAE09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14. Udruga orača Zagrebačke županije </w:t>
      </w:r>
      <w:r w:rsidR="005A26AD">
        <w:rPr>
          <w:rFonts w:cstheme="minorHAnsi"/>
        </w:rPr>
        <w:t xml:space="preserve">500,00 </w:t>
      </w:r>
      <w:r>
        <w:rPr>
          <w:rFonts w:cstheme="minorHAnsi"/>
        </w:rPr>
        <w:t>eura</w:t>
      </w:r>
    </w:p>
    <w:p w14:paraId="5056F469" w14:textId="051D4F96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15. Udruga Vrba </w:t>
      </w:r>
      <w:r w:rsidR="00823E86">
        <w:rPr>
          <w:rFonts w:cstheme="minorHAnsi"/>
        </w:rPr>
        <w:t xml:space="preserve">2.000,00 </w:t>
      </w:r>
      <w:r>
        <w:rPr>
          <w:rFonts w:cstheme="minorHAnsi"/>
        </w:rPr>
        <w:t>eura</w:t>
      </w:r>
    </w:p>
    <w:p w14:paraId="32EB4167" w14:textId="0F07E606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16. Hrvatski časnički zbor </w:t>
      </w:r>
      <w:r w:rsidR="00823E86">
        <w:rPr>
          <w:rFonts w:cstheme="minorHAnsi"/>
        </w:rPr>
        <w:t xml:space="preserve">1.200,00 </w:t>
      </w:r>
      <w:r>
        <w:rPr>
          <w:rFonts w:cstheme="minorHAnsi"/>
        </w:rPr>
        <w:t>eura</w:t>
      </w:r>
    </w:p>
    <w:p w14:paraId="0638DD6B" w14:textId="1E23698C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17. Pokroviteljstva i sponzorstva po odluci načelnika </w:t>
      </w:r>
      <w:r w:rsidR="005A26AD">
        <w:rPr>
          <w:rFonts w:cstheme="minorHAnsi"/>
        </w:rPr>
        <w:t xml:space="preserve">294,00 </w:t>
      </w:r>
      <w:r>
        <w:rPr>
          <w:rFonts w:cstheme="minorHAnsi"/>
        </w:rPr>
        <w:t>euro</w:t>
      </w:r>
    </w:p>
    <w:p w14:paraId="4E9312E9" w14:textId="23A01EFC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18. </w:t>
      </w:r>
      <w:r w:rsidR="005A26AD">
        <w:rPr>
          <w:rFonts w:cstheme="minorHAnsi"/>
        </w:rPr>
        <w:t>Biciklistički klub Vrbovec 300,00 eura</w:t>
      </w:r>
    </w:p>
    <w:p w14:paraId="7B494198" w14:textId="16F03E00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19. Lovačko društvo Golub</w:t>
      </w:r>
      <w:r w:rsidR="00823E86">
        <w:rPr>
          <w:rFonts w:cstheme="minorHAnsi"/>
        </w:rPr>
        <w:t xml:space="preserve"> 7.000,00</w:t>
      </w:r>
      <w:r>
        <w:rPr>
          <w:rFonts w:cstheme="minorHAnsi"/>
        </w:rPr>
        <w:t xml:space="preserve"> eura</w:t>
      </w:r>
    </w:p>
    <w:p w14:paraId="446652F6" w14:textId="31F610E0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20. Lovačko društvo Sokol</w:t>
      </w:r>
      <w:r w:rsidR="00823E86">
        <w:rPr>
          <w:rFonts w:cstheme="minorHAnsi"/>
        </w:rPr>
        <w:t xml:space="preserve"> 9.000,00</w:t>
      </w:r>
      <w:r>
        <w:rPr>
          <w:rFonts w:cstheme="minorHAnsi"/>
        </w:rPr>
        <w:t xml:space="preserve"> eura</w:t>
      </w:r>
    </w:p>
    <w:p w14:paraId="24899331" w14:textId="71A61D9F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21. Župa sv. Margarete </w:t>
      </w:r>
      <w:r w:rsidR="005A26AD">
        <w:rPr>
          <w:rFonts w:cstheme="minorHAnsi"/>
        </w:rPr>
        <w:t xml:space="preserve">15.000,00 </w:t>
      </w:r>
      <w:r>
        <w:rPr>
          <w:rFonts w:cstheme="minorHAnsi"/>
        </w:rPr>
        <w:t xml:space="preserve">eura </w:t>
      </w:r>
    </w:p>
    <w:p w14:paraId="63746C4D" w14:textId="60A9EAEB" w:rsidR="00EA6AF0" w:rsidRDefault="00EA6AF0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22. Kapitalne pomoći Dombra 1094. d.o.o. </w:t>
      </w:r>
      <w:r w:rsidR="005A26AD">
        <w:rPr>
          <w:rFonts w:cstheme="minorHAnsi"/>
        </w:rPr>
        <w:t xml:space="preserve">6.839,05 </w:t>
      </w:r>
      <w:r>
        <w:rPr>
          <w:rFonts w:cstheme="minorHAnsi"/>
        </w:rPr>
        <w:t>eura</w:t>
      </w:r>
    </w:p>
    <w:p w14:paraId="0D0CA848" w14:textId="36564E03" w:rsidR="005A26AD" w:rsidRDefault="005A26AD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23. DVD Gaj 200,00 eura</w:t>
      </w:r>
    </w:p>
    <w:p w14:paraId="7C0251FE" w14:textId="0EB045A3" w:rsidR="005A26AD" w:rsidRDefault="005A26AD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24. DVD Brčevec 100,00 eura</w:t>
      </w:r>
    </w:p>
    <w:p w14:paraId="21E61786" w14:textId="10BB2CC7" w:rsidR="005A26AD" w:rsidRDefault="005A26AD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25. Klub Sinjana 660,00 eura</w:t>
      </w:r>
    </w:p>
    <w:p w14:paraId="7175A118" w14:textId="7912ED10" w:rsidR="005A26AD" w:rsidRDefault="005A26AD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26. Počasni Blajburški vod 150,00 eura</w:t>
      </w:r>
    </w:p>
    <w:p w14:paraId="13EC5639" w14:textId="390F498F" w:rsidR="005A26AD" w:rsidRDefault="005A26AD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27. Udruga za terapijsko jahanje Nada Vrbovec 300,00</w:t>
      </w:r>
    </w:p>
    <w:p w14:paraId="16457EA4" w14:textId="55F49940" w:rsidR="005A26AD" w:rsidRDefault="005A26AD" w:rsidP="00EA6AF0">
      <w:pPr>
        <w:spacing w:after="0"/>
        <w:jc w:val="both"/>
        <w:rPr>
          <w:rFonts w:cstheme="minorHAnsi"/>
        </w:rPr>
      </w:pPr>
      <w:r>
        <w:rPr>
          <w:rFonts w:cstheme="minorHAnsi"/>
        </w:rPr>
        <w:t>28. Izborna promidžba 3.347,36 eura</w:t>
      </w:r>
    </w:p>
    <w:p w14:paraId="7F495A2C" w14:textId="77777777" w:rsidR="005A26AD" w:rsidRDefault="005A26AD" w:rsidP="0015150E">
      <w:pPr>
        <w:jc w:val="both"/>
        <w:rPr>
          <w:rFonts w:cstheme="minorHAnsi"/>
          <w:b/>
          <w:bCs/>
          <w:u w:val="single"/>
          <w:lang w:val="hr-HR"/>
        </w:rPr>
      </w:pPr>
    </w:p>
    <w:p w14:paraId="7916D176" w14:textId="23A8015F" w:rsidR="001D62E2" w:rsidRDefault="001072DC" w:rsidP="0015150E">
      <w:pPr>
        <w:jc w:val="both"/>
        <w:rPr>
          <w:rFonts w:cstheme="minorHAnsi"/>
          <w:lang w:val="hr-HR"/>
        </w:rPr>
      </w:pPr>
      <w:r w:rsidRPr="001072DC">
        <w:rPr>
          <w:rFonts w:cstheme="minorHAnsi"/>
          <w:b/>
          <w:bCs/>
          <w:u w:val="single"/>
          <w:lang w:val="hr-HR"/>
        </w:rPr>
        <w:lastRenderedPageBreak/>
        <w:t>Rashodi za nabavu neproizvedene dugotrajne imovine</w:t>
      </w:r>
      <w:r>
        <w:rPr>
          <w:rFonts w:cstheme="minorHAnsi"/>
          <w:lang w:val="hr-HR"/>
        </w:rPr>
        <w:t xml:space="preserve"> izvršeni su u iznosu </w:t>
      </w:r>
      <w:r w:rsidR="00B522EF">
        <w:rPr>
          <w:rFonts w:cstheme="minorHAnsi"/>
          <w:lang w:val="hr-HR"/>
        </w:rPr>
        <w:t>46.762,50</w:t>
      </w:r>
      <w:r>
        <w:rPr>
          <w:rFonts w:cstheme="minorHAnsi"/>
          <w:lang w:val="hr-HR"/>
        </w:rPr>
        <w:t xml:space="preserve"> eura, </w:t>
      </w:r>
      <w:r w:rsidR="00B522EF">
        <w:rPr>
          <w:rFonts w:cstheme="minorHAnsi"/>
          <w:lang w:val="hr-HR"/>
        </w:rPr>
        <w:t>26,80</w:t>
      </w:r>
      <w:r>
        <w:rPr>
          <w:rFonts w:cstheme="minorHAnsi"/>
          <w:lang w:val="hr-HR"/>
        </w:rPr>
        <w:t xml:space="preserve">% </w:t>
      </w:r>
      <w:r w:rsidR="00B522EF">
        <w:rPr>
          <w:rFonts w:cstheme="minorHAnsi"/>
          <w:lang w:val="hr-HR"/>
        </w:rPr>
        <w:t>manje</w:t>
      </w:r>
      <w:r>
        <w:rPr>
          <w:rFonts w:cstheme="minorHAnsi"/>
          <w:lang w:val="hr-HR"/>
        </w:rPr>
        <w:t xml:space="preserve"> nego u prethodnoj godini a odnose se na ulaganje u nematerijalnu imovinu.</w:t>
      </w:r>
    </w:p>
    <w:p w14:paraId="424F7757" w14:textId="77777777" w:rsidR="001072DC" w:rsidRDefault="001072DC" w:rsidP="0015150E">
      <w:pPr>
        <w:jc w:val="both"/>
        <w:rPr>
          <w:rFonts w:cstheme="minorHAnsi"/>
          <w:lang w:val="hr-HR"/>
        </w:rPr>
      </w:pPr>
    </w:p>
    <w:p w14:paraId="7557A1A1" w14:textId="7438B80B" w:rsidR="001072DC" w:rsidRDefault="001072DC" w:rsidP="0015150E">
      <w:pPr>
        <w:jc w:val="both"/>
        <w:rPr>
          <w:rFonts w:cstheme="minorHAnsi"/>
          <w:lang w:val="hr-HR"/>
        </w:rPr>
      </w:pPr>
      <w:r w:rsidRPr="00DE5166">
        <w:rPr>
          <w:rFonts w:cstheme="minorHAnsi"/>
          <w:b/>
          <w:bCs/>
          <w:u w:val="single"/>
          <w:lang w:val="hr-HR"/>
        </w:rPr>
        <w:t>Rashodi za nabavu proizvedene dugotrajne imovine</w:t>
      </w:r>
      <w:r>
        <w:rPr>
          <w:rFonts w:cstheme="minorHAnsi"/>
          <w:lang w:val="hr-HR"/>
        </w:rPr>
        <w:t xml:space="preserve"> iznose </w:t>
      </w:r>
      <w:r w:rsidR="00B522EF">
        <w:rPr>
          <w:rFonts w:cstheme="minorHAnsi"/>
          <w:lang w:val="hr-HR"/>
        </w:rPr>
        <w:t>858.141,22</w:t>
      </w:r>
      <w:r>
        <w:rPr>
          <w:rFonts w:cstheme="minorHAnsi"/>
          <w:lang w:val="hr-HR"/>
        </w:rPr>
        <w:t xml:space="preserve"> eura što je </w:t>
      </w:r>
      <w:r w:rsidR="00B522EF">
        <w:rPr>
          <w:rFonts w:cstheme="minorHAnsi"/>
          <w:lang w:val="hr-HR"/>
        </w:rPr>
        <w:t>853,12</w:t>
      </w:r>
      <w:r>
        <w:rPr>
          <w:rFonts w:cstheme="minorHAnsi"/>
          <w:lang w:val="hr-HR"/>
        </w:rPr>
        <w:t xml:space="preserve">% </w:t>
      </w:r>
      <w:r w:rsidR="00446D0D">
        <w:rPr>
          <w:rFonts w:cstheme="minorHAnsi"/>
          <w:lang w:val="hr-HR"/>
        </w:rPr>
        <w:t>više</w:t>
      </w:r>
      <w:r>
        <w:rPr>
          <w:rFonts w:cstheme="minorHAnsi"/>
          <w:lang w:val="hr-HR"/>
        </w:rPr>
        <w:t xml:space="preserve"> nego prethodne godine, a odnosi se na ulaganja u građevinske objekte </w:t>
      </w:r>
      <w:r w:rsidR="00B522EF">
        <w:rPr>
          <w:rFonts w:cstheme="minorHAnsi"/>
          <w:lang w:val="hr-HR"/>
        </w:rPr>
        <w:t>749.954,92</w:t>
      </w:r>
      <w:r>
        <w:rPr>
          <w:rFonts w:cstheme="minorHAnsi"/>
          <w:lang w:val="hr-HR"/>
        </w:rPr>
        <w:t xml:space="preserve"> eur</w:t>
      </w:r>
      <w:r w:rsidR="00446D0D">
        <w:rPr>
          <w:rFonts w:cstheme="minorHAnsi"/>
          <w:lang w:val="hr-HR"/>
        </w:rPr>
        <w:t>a</w:t>
      </w:r>
      <w:r w:rsidR="00B522EF">
        <w:rPr>
          <w:rFonts w:cstheme="minorHAnsi"/>
          <w:lang w:val="hr-HR"/>
        </w:rPr>
        <w:t xml:space="preserve"> (radovi na NK, projektne dokumentacije za građevinske objekte, elektrotehnički radovi, vodovodni priključci 3D slova „Dubrava“, ograda na groblju Dubrava)</w:t>
      </w:r>
      <w:r>
        <w:rPr>
          <w:rFonts w:cstheme="minorHAnsi"/>
          <w:lang w:val="hr-HR"/>
        </w:rPr>
        <w:t xml:space="preserve">, ulaganja u postrojenja i opremu </w:t>
      </w:r>
      <w:r w:rsidR="00B522EF">
        <w:rPr>
          <w:rFonts w:cstheme="minorHAnsi"/>
          <w:lang w:val="hr-HR"/>
        </w:rPr>
        <w:t>60.061,30</w:t>
      </w:r>
      <w:r>
        <w:rPr>
          <w:rFonts w:cstheme="minorHAnsi"/>
          <w:lang w:val="hr-HR"/>
        </w:rPr>
        <w:t xml:space="preserve"> eura</w:t>
      </w:r>
      <w:r w:rsidR="00B522EF">
        <w:rPr>
          <w:rFonts w:cstheme="minorHAnsi"/>
          <w:lang w:val="hr-HR"/>
        </w:rPr>
        <w:t xml:space="preserve"> (klima uređaji u društvenim domovima, spremnik za vodu za društveni dom Habjanovac, kućišta za kamere za mjerenje brzine) </w:t>
      </w:r>
      <w:r>
        <w:rPr>
          <w:rFonts w:cstheme="minorHAnsi"/>
          <w:lang w:val="hr-HR"/>
        </w:rPr>
        <w:t xml:space="preserve">te ostalu nematerijalnu proizvedenu </w:t>
      </w:r>
      <w:r w:rsidR="00B522EF">
        <w:rPr>
          <w:rFonts w:cstheme="minorHAnsi"/>
          <w:lang w:val="hr-HR"/>
        </w:rPr>
        <w:t>imovinu 48.125,00</w:t>
      </w:r>
      <w:r>
        <w:rPr>
          <w:rFonts w:cstheme="minorHAnsi"/>
          <w:lang w:val="hr-HR"/>
        </w:rPr>
        <w:t xml:space="preserve"> eura</w:t>
      </w:r>
      <w:r w:rsidR="009E68B7">
        <w:rPr>
          <w:rFonts w:cstheme="minorHAnsi"/>
          <w:lang w:val="hr-HR"/>
        </w:rPr>
        <w:t xml:space="preserve"> (usluga izrade prostornog plana, strategija urbane zelene obnove)</w:t>
      </w:r>
      <w:r>
        <w:rPr>
          <w:rFonts w:cstheme="minorHAnsi"/>
          <w:lang w:val="hr-HR"/>
        </w:rPr>
        <w:t>.</w:t>
      </w:r>
    </w:p>
    <w:p w14:paraId="4C746FBF" w14:textId="5B24B8FF" w:rsidR="001072DC" w:rsidRDefault="001072DC" w:rsidP="0015150E">
      <w:pPr>
        <w:jc w:val="both"/>
        <w:rPr>
          <w:rFonts w:cstheme="minorHAnsi"/>
          <w:lang w:val="hr-HR"/>
        </w:rPr>
      </w:pPr>
      <w:r w:rsidRPr="00DE5166">
        <w:rPr>
          <w:rFonts w:cstheme="minorHAnsi"/>
          <w:b/>
          <w:bCs/>
          <w:u w:val="single"/>
          <w:lang w:val="hr-HR"/>
        </w:rPr>
        <w:t>Rashodi za dodatna ulaganja na nefinancijskoj imovini</w:t>
      </w:r>
      <w:r>
        <w:rPr>
          <w:rFonts w:cstheme="minorHAnsi"/>
          <w:lang w:val="hr-HR"/>
        </w:rPr>
        <w:t xml:space="preserve"> realizirana u iznosu </w:t>
      </w:r>
      <w:r w:rsidR="009E68B7">
        <w:rPr>
          <w:rFonts w:cstheme="minorHAnsi"/>
          <w:lang w:val="hr-HR"/>
        </w:rPr>
        <w:t>2.338.459,18</w:t>
      </w:r>
      <w:r>
        <w:rPr>
          <w:rFonts w:cstheme="minorHAnsi"/>
          <w:lang w:val="hr-HR"/>
        </w:rPr>
        <w:t xml:space="preserve"> eura odnose se na </w:t>
      </w:r>
      <w:r w:rsidR="00446D0D">
        <w:rPr>
          <w:rFonts w:cstheme="minorHAnsi"/>
          <w:lang w:val="hr-HR"/>
        </w:rPr>
        <w:t>rekonstrukciju i dogradnju Dječjeg vrtića</w:t>
      </w:r>
      <w:r w:rsidR="00FA2BFB">
        <w:rPr>
          <w:rFonts w:cstheme="minorHAnsi"/>
          <w:lang w:val="hr-HR"/>
        </w:rPr>
        <w:t>.</w:t>
      </w:r>
    </w:p>
    <w:p w14:paraId="2E00E163" w14:textId="77777777" w:rsidR="00DE5166" w:rsidRDefault="00DE5166" w:rsidP="001D62E2">
      <w:pPr>
        <w:rPr>
          <w:rFonts w:cstheme="minorHAnsi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59"/>
        <w:gridCol w:w="2193"/>
        <w:gridCol w:w="1900"/>
        <w:gridCol w:w="1542"/>
      </w:tblGrid>
      <w:tr w:rsidR="00DE5166" w:rsidRPr="00DE5166" w14:paraId="11D0B4F5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68247D4A" w14:textId="3EAB7244" w:rsidR="00DE5166" w:rsidRPr="00DE5166" w:rsidRDefault="00DE5166" w:rsidP="00DE5166">
            <w:pPr>
              <w:rPr>
                <w:b/>
                <w:bCs/>
              </w:rPr>
            </w:pPr>
            <w:r>
              <w:rPr>
                <w:b/>
                <w:bCs/>
              </w:rPr>
              <w:t>Rashodi</w:t>
            </w:r>
          </w:p>
        </w:tc>
        <w:tc>
          <w:tcPr>
            <w:tcW w:w="2193" w:type="dxa"/>
            <w:noWrap/>
            <w:hideMark/>
          </w:tcPr>
          <w:p w14:paraId="5AE76BB4" w14:textId="05B276BF" w:rsidR="00DE5166" w:rsidRPr="00DE5166" w:rsidRDefault="00DE5166" w:rsidP="00DE5166">
            <w:pPr>
              <w:rPr>
                <w:b/>
                <w:bCs/>
              </w:rPr>
            </w:pPr>
            <w:r w:rsidRPr="00DE5166">
              <w:rPr>
                <w:b/>
                <w:bCs/>
              </w:rPr>
              <w:t>Izvršenje 202</w:t>
            </w:r>
            <w:r w:rsidR="00FA2BFB">
              <w:rPr>
                <w:b/>
                <w:bCs/>
              </w:rPr>
              <w:t>4</w:t>
            </w:r>
            <w:r w:rsidRPr="00DE5166">
              <w:rPr>
                <w:b/>
                <w:bCs/>
              </w:rPr>
              <w:t>. €</w:t>
            </w:r>
          </w:p>
        </w:tc>
        <w:tc>
          <w:tcPr>
            <w:tcW w:w="1900" w:type="dxa"/>
            <w:noWrap/>
            <w:hideMark/>
          </w:tcPr>
          <w:p w14:paraId="7B1BC0D6" w14:textId="5D8B579F" w:rsidR="00DE5166" w:rsidRPr="00DE5166" w:rsidRDefault="00DE5166" w:rsidP="00DE5166">
            <w:pPr>
              <w:rPr>
                <w:b/>
                <w:bCs/>
              </w:rPr>
            </w:pPr>
            <w:r w:rsidRPr="00DE5166">
              <w:rPr>
                <w:b/>
                <w:bCs/>
              </w:rPr>
              <w:t>Izvršenje 202</w:t>
            </w:r>
            <w:r w:rsidR="00FA2BFB">
              <w:rPr>
                <w:b/>
                <w:bCs/>
              </w:rPr>
              <w:t>5</w:t>
            </w:r>
            <w:r w:rsidRPr="00DE5166">
              <w:rPr>
                <w:b/>
                <w:bCs/>
              </w:rPr>
              <w:t>. €</w:t>
            </w:r>
          </w:p>
        </w:tc>
        <w:tc>
          <w:tcPr>
            <w:tcW w:w="1542" w:type="dxa"/>
            <w:noWrap/>
            <w:hideMark/>
          </w:tcPr>
          <w:p w14:paraId="72C1D9E2" w14:textId="10D95401" w:rsidR="00DE5166" w:rsidRPr="00DE5166" w:rsidRDefault="00DE5166" w:rsidP="00DE5166">
            <w:pPr>
              <w:rPr>
                <w:b/>
                <w:bCs/>
              </w:rPr>
            </w:pPr>
            <w:r w:rsidRPr="00DE5166">
              <w:rPr>
                <w:b/>
                <w:bCs/>
              </w:rPr>
              <w:t xml:space="preserve">Indeks  </w:t>
            </w:r>
            <w:r>
              <w:rPr>
                <w:b/>
                <w:bCs/>
              </w:rPr>
              <w:t>2</w:t>
            </w:r>
            <w:r w:rsidRPr="00DE5166">
              <w:rPr>
                <w:b/>
                <w:bCs/>
              </w:rPr>
              <w:t>/1</w:t>
            </w:r>
          </w:p>
        </w:tc>
      </w:tr>
      <w:tr w:rsidR="00DE5166" w:rsidRPr="00DE5166" w14:paraId="460805B8" w14:textId="77777777" w:rsidTr="00DE5166">
        <w:trPr>
          <w:trHeight w:val="255"/>
        </w:trPr>
        <w:tc>
          <w:tcPr>
            <w:tcW w:w="8359" w:type="dxa"/>
            <w:noWrap/>
          </w:tcPr>
          <w:p w14:paraId="67CE5C18" w14:textId="77777777" w:rsidR="00DE5166" w:rsidRPr="00DE5166" w:rsidRDefault="00DE5166" w:rsidP="00DE5166">
            <w:pPr>
              <w:rPr>
                <w:b/>
                <w:bCs/>
              </w:rPr>
            </w:pPr>
          </w:p>
        </w:tc>
        <w:tc>
          <w:tcPr>
            <w:tcW w:w="2193" w:type="dxa"/>
            <w:noWrap/>
          </w:tcPr>
          <w:p w14:paraId="72AFF3D6" w14:textId="7065CED0" w:rsidR="00DE5166" w:rsidRPr="00DE5166" w:rsidRDefault="00DE5166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00" w:type="dxa"/>
            <w:noWrap/>
          </w:tcPr>
          <w:p w14:paraId="632A40E4" w14:textId="0CBBEC1D" w:rsidR="00DE5166" w:rsidRPr="00DE5166" w:rsidRDefault="00DE5166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2" w:type="dxa"/>
            <w:noWrap/>
          </w:tcPr>
          <w:p w14:paraId="6708573F" w14:textId="205DD367" w:rsidR="00DE5166" w:rsidRPr="00DE5166" w:rsidRDefault="00DE5166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A2BFB" w:rsidRPr="00DE5166" w14:paraId="0BADD388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0EBAC63E" w14:textId="1584C2E9" w:rsidR="00FA2BFB" w:rsidRPr="00DE5166" w:rsidRDefault="00FA2BFB" w:rsidP="00FA2BFB">
            <w:pPr>
              <w:rPr>
                <w:b/>
                <w:bCs/>
              </w:rPr>
            </w:pPr>
            <w:r>
              <w:rPr>
                <w:b/>
                <w:bCs/>
              </w:rPr>
              <w:t>UKUPNI RASHODI</w:t>
            </w:r>
          </w:p>
        </w:tc>
        <w:tc>
          <w:tcPr>
            <w:tcW w:w="2193" w:type="dxa"/>
            <w:noWrap/>
            <w:hideMark/>
          </w:tcPr>
          <w:p w14:paraId="2E53E495" w14:textId="6497945D" w:rsidR="00FA2BFB" w:rsidRPr="00DE5166" w:rsidRDefault="00FA2BFB" w:rsidP="00FA2BFB">
            <w:pPr>
              <w:jc w:val="right"/>
              <w:rPr>
                <w:b/>
                <w:bCs/>
              </w:rPr>
            </w:pPr>
            <w:r w:rsidRPr="00D76274">
              <w:rPr>
                <w:b/>
                <w:bCs/>
              </w:rPr>
              <w:t xml:space="preserve">4.498.323,05  </w:t>
            </w:r>
          </w:p>
        </w:tc>
        <w:tc>
          <w:tcPr>
            <w:tcW w:w="1900" w:type="dxa"/>
            <w:noWrap/>
            <w:hideMark/>
          </w:tcPr>
          <w:p w14:paraId="6374FA79" w14:textId="65155E22" w:rsidR="00FA2BFB" w:rsidRPr="00DE5166" w:rsidRDefault="00FA2BFB" w:rsidP="00FA2B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6.063.138,61</w:t>
            </w:r>
            <w:r w:rsidRPr="00D76274">
              <w:rPr>
                <w:b/>
                <w:bCs/>
              </w:rPr>
              <w:t xml:space="preserve">  </w:t>
            </w:r>
          </w:p>
        </w:tc>
        <w:tc>
          <w:tcPr>
            <w:tcW w:w="1542" w:type="dxa"/>
            <w:noWrap/>
            <w:hideMark/>
          </w:tcPr>
          <w:p w14:paraId="19B9E5B3" w14:textId="1E21E689" w:rsidR="00FA2BFB" w:rsidRPr="00DE5166" w:rsidRDefault="00FA2BFB" w:rsidP="00FA2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134,79%</w:t>
            </w:r>
          </w:p>
        </w:tc>
      </w:tr>
      <w:tr w:rsidR="00FA2BFB" w:rsidRPr="00DE5166" w14:paraId="00055272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2698B12B" w14:textId="77777777" w:rsidR="00FA2BFB" w:rsidRPr="00DE5166" w:rsidRDefault="00FA2BFB" w:rsidP="00FA2BFB">
            <w:pPr>
              <w:rPr>
                <w:b/>
                <w:bCs/>
              </w:rPr>
            </w:pPr>
            <w:r w:rsidRPr="00DE5166">
              <w:rPr>
                <w:b/>
                <w:bCs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4AD19144" w14:textId="3D6FFFA0" w:rsidR="00FA2BFB" w:rsidRPr="00DE5166" w:rsidRDefault="00FA2BFB" w:rsidP="00FA2B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2.383.144,19</w:t>
            </w:r>
          </w:p>
        </w:tc>
        <w:tc>
          <w:tcPr>
            <w:tcW w:w="1900" w:type="dxa"/>
            <w:noWrap/>
            <w:hideMark/>
          </w:tcPr>
          <w:p w14:paraId="64BEC4F4" w14:textId="58925E6F" w:rsidR="00FA2BFB" w:rsidRPr="00DE5166" w:rsidRDefault="00FA2BFB" w:rsidP="00FA2B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2.819.775,71</w:t>
            </w:r>
          </w:p>
        </w:tc>
        <w:tc>
          <w:tcPr>
            <w:tcW w:w="1542" w:type="dxa"/>
            <w:noWrap/>
            <w:hideMark/>
          </w:tcPr>
          <w:p w14:paraId="0596AA06" w14:textId="4CBDCF20" w:rsidR="00FA2BFB" w:rsidRPr="00DE5166" w:rsidRDefault="00FA2BFB" w:rsidP="00FA2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118,32</w:t>
            </w:r>
            <w:r w:rsidRPr="00DE5166">
              <w:rPr>
                <w:b/>
                <w:bCs/>
              </w:rPr>
              <w:t>%</w:t>
            </w:r>
          </w:p>
        </w:tc>
      </w:tr>
      <w:tr w:rsidR="00FA2BFB" w:rsidRPr="00DE5166" w14:paraId="2D974F8F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67387D9C" w14:textId="77777777" w:rsidR="00FA2BFB" w:rsidRPr="00DE5166" w:rsidRDefault="00FA2BFB" w:rsidP="00FA2BFB">
            <w:r w:rsidRPr="00DE5166">
              <w:t xml:space="preserve">31 Rashodi za zaposlene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D37AB3A" w14:textId="1A5087D7" w:rsidR="00FA2BFB" w:rsidRPr="00DE5166" w:rsidRDefault="00FA2BFB" w:rsidP="00FA2BFB">
            <w:pPr>
              <w:jc w:val="right"/>
            </w:pPr>
            <w:r>
              <w:t>478.115,58</w:t>
            </w:r>
          </w:p>
        </w:tc>
        <w:tc>
          <w:tcPr>
            <w:tcW w:w="1900" w:type="dxa"/>
            <w:noWrap/>
            <w:hideMark/>
          </w:tcPr>
          <w:p w14:paraId="5BB0CACD" w14:textId="167B9181" w:rsidR="00FA2BFB" w:rsidRPr="00DE5166" w:rsidRDefault="00FA2BFB" w:rsidP="00FA2BFB">
            <w:pPr>
              <w:jc w:val="right"/>
            </w:pPr>
            <w:r>
              <w:t>589.748,46</w:t>
            </w:r>
          </w:p>
        </w:tc>
        <w:tc>
          <w:tcPr>
            <w:tcW w:w="1542" w:type="dxa"/>
            <w:noWrap/>
            <w:hideMark/>
          </w:tcPr>
          <w:p w14:paraId="286108B2" w14:textId="2927D483" w:rsidR="00FA2BFB" w:rsidRPr="00DE5166" w:rsidRDefault="00FA2BFB" w:rsidP="00FA2BFB">
            <w:pPr>
              <w:jc w:val="center"/>
            </w:pPr>
            <w:r>
              <w:t>123,35</w:t>
            </w:r>
            <w:r w:rsidRPr="00DE5166">
              <w:t>%</w:t>
            </w:r>
          </w:p>
        </w:tc>
      </w:tr>
      <w:tr w:rsidR="00FA2BFB" w:rsidRPr="00DE5166" w14:paraId="576AEDF1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20D3F1F3" w14:textId="77777777" w:rsidR="00FA2BFB" w:rsidRPr="00DE5166" w:rsidRDefault="00FA2BFB" w:rsidP="00FA2BFB">
            <w:r w:rsidRPr="00DE5166">
              <w:t xml:space="preserve">32 Materijalni rashodi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DF5B850" w14:textId="7B020662" w:rsidR="00FA2BFB" w:rsidRPr="00DE5166" w:rsidRDefault="00FA2BFB" w:rsidP="00FA2BFB">
            <w:pPr>
              <w:jc w:val="right"/>
            </w:pPr>
            <w:r>
              <w:t>1.195.749,66</w:t>
            </w:r>
          </w:p>
        </w:tc>
        <w:tc>
          <w:tcPr>
            <w:tcW w:w="1900" w:type="dxa"/>
            <w:noWrap/>
            <w:hideMark/>
          </w:tcPr>
          <w:p w14:paraId="56ACC860" w14:textId="6B241238" w:rsidR="00FA2BFB" w:rsidRPr="00DE5166" w:rsidRDefault="00FA2BFB" w:rsidP="00FA2BFB">
            <w:pPr>
              <w:jc w:val="right"/>
            </w:pPr>
            <w:r>
              <w:t>1.375.694,30</w:t>
            </w:r>
          </w:p>
        </w:tc>
        <w:tc>
          <w:tcPr>
            <w:tcW w:w="1542" w:type="dxa"/>
            <w:noWrap/>
            <w:hideMark/>
          </w:tcPr>
          <w:p w14:paraId="3D8FF9B2" w14:textId="1518BFA9" w:rsidR="00FA2BFB" w:rsidRPr="00DE5166" w:rsidRDefault="00FA2BFB" w:rsidP="00FA2BFB">
            <w:pPr>
              <w:jc w:val="center"/>
            </w:pPr>
            <w:r>
              <w:t>115,05</w:t>
            </w:r>
            <w:r w:rsidRPr="00DE5166">
              <w:t>%</w:t>
            </w:r>
          </w:p>
        </w:tc>
      </w:tr>
      <w:tr w:rsidR="00FA2BFB" w:rsidRPr="00DE5166" w14:paraId="5E7A395D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3C370CF2" w14:textId="77777777" w:rsidR="00FA2BFB" w:rsidRPr="00DE5166" w:rsidRDefault="00FA2BFB" w:rsidP="00FA2BFB">
            <w:r w:rsidRPr="00DE5166">
              <w:t xml:space="preserve">34 Financijski rashodi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26F863F3" w14:textId="1E023088" w:rsidR="00FA2BFB" w:rsidRPr="00DE5166" w:rsidRDefault="00FA2BFB" w:rsidP="00FA2BFB">
            <w:pPr>
              <w:jc w:val="right"/>
            </w:pPr>
            <w:r>
              <w:t>40.993,72</w:t>
            </w:r>
          </w:p>
        </w:tc>
        <w:tc>
          <w:tcPr>
            <w:tcW w:w="1900" w:type="dxa"/>
            <w:noWrap/>
            <w:hideMark/>
          </w:tcPr>
          <w:p w14:paraId="221F386C" w14:textId="2DF04818" w:rsidR="00FA2BFB" w:rsidRPr="00DE5166" w:rsidRDefault="00FA2BFB" w:rsidP="00FA2BFB">
            <w:pPr>
              <w:jc w:val="right"/>
            </w:pPr>
            <w:r>
              <w:t>54.242,26</w:t>
            </w:r>
          </w:p>
        </w:tc>
        <w:tc>
          <w:tcPr>
            <w:tcW w:w="1542" w:type="dxa"/>
            <w:noWrap/>
            <w:hideMark/>
          </w:tcPr>
          <w:p w14:paraId="22C4443A" w14:textId="48C97616" w:rsidR="00FA2BFB" w:rsidRPr="00DE5166" w:rsidRDefault="00FA2BFB" w:rsidP="00FA2BFB">
            <w:pPr>
              <w:jc w:val="center"/>
            </w:pPr>
            <w:r>
              <w:t>132,32</w:t>
            </w:r>
            <w:r w:rsidRPr="00DE5166">
              <w:t>%</w:t>
            </w:r>
          </w:p>
        </w:tc>
      </w:tr>
      <w:tr w:rsidR="00FA2BFB" w:rsidRPr="00DE5166" w14:paraId="1889F7A4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11F78BE4" w14:textId="77777777" w:rsidR="00FA2BFB" w:rsidRPr="00DE5166" w:rsidRDefault="00FA2BFB" w:rsidP="00FA2BFB">
            <w:r w:rsidRPr="00DE5166">
              <w:t xml:space="preserve">35 Subvencije         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60BE5AE8" w14:textId="600FD8B5" w:rsidR="00FA2BFB" w:rsidRPr="00DE5166" w:rsidRDefault="00FA2BFB" w:rsidP="00FA2BFB">
            <w:pPr>
              <w:jc w:val="right"/>
            </w:pPr>
            <w:r>
              <w:t>5.399,99</w:t>
            </w:r>
          </w:p>
        </w:tc>
        <w:tc>
          <w:tcPr>
            <w:tcW w:w="1900" w:type="dxa"/>
            <w:noWrap/>
            <w:hideMark/>
          </w:tcPr>
          <w:p w14:paraId="01B24F26" w14:textId="43E75A83" w:rsidR="00FA2BFB" w:rsidRPr="00DE5166" w:rsidRDefault="00FA2BFB" w:rsidP="00FA2BFB">
            <w:pPr>
              <w:jc w:val="right"/>
            </w:pPr>
            <w:r>
              <w:t>6.750,00</w:t>
            </w:r>
          </w:p>
        </w:tc>
        <w:tc>
          <w:tcPr>
            <w:tcW w:w="1542" w:type="dxa"/>
            <w:noWrap/>
            <w:hideMark/>
          </w:tcPr>
          <w:p w14:paraId="3093289E" w14:textId="39F0D1CF" w:rsidR="00FA2BFB" w:rsidRPr="00DE5166" w:rsidRDefault="00FA2BFB" w:rsidP="00FA2BFB">
            <w:pPr>
              <w:jc w:val="center"/>
            </w:pPr>
            <w:r>
              <w:t>125,00</w:t>
            </w:r>
            <w:r w:rsidRPr="00DE5166">
              <w:t>%</w:t>
            </w:r>
          </w:p>
        </w:tc>
      </w:tr>
      <w:tr w:rsidR="00FA2BFB" w:rsidRPr="00DE5166" w14:paraId="1C273920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7FEE0892" w14:textId="77777777" w:rsidR="00FA2BFB" w:rsidRPr="00DE5166" w:rsidRDefault="00FA2BFB" w:rsidP="00FA2BFB">
            <w:r w:rsidRPr="00DE5166">
              <w:t>36 Pomoći dane u inozemstvo i unutar općeg proračuna</w:t>
            </w:r>
          </w:p>
        </w:tc>
        <w:tc>
          <w:tcPr>
            <w:tcW w:w="2193" w:type="dxa"/>
            <w:noWrap/>
            <w:hideMark/>
          </w:tcPr>
          <w:p w14:paraId="69CBB981" w14:textId="2FC6B789" w:rsidR="00FA2BFB" w:rsidRPr="00DE5166" w:rsidRDefault="00FA2BFB" w:rsidP="00FA2BFB">
            <w:pPr>
              <w:jc w:val="right"/>
            </w:pPr>
            <w:r>
              <w:t>62.244,01</w:t>
            </w:r>
          </w:p>
        </w:tc>
        <w:tc>
          <w:tcPr>
            <w:tcW w:w="1900" w:type="dxa"/>
            <w:noWrap/>
            <w:hideMark/>
          </w:tcPr>
          <w:p w14:paraId="47987C6E" w14:textId="5C142747" w:rsidR="00FA2BFB" w:rsidRPr="00DE5166" w:rsidRDefault="00FA2BFB" w:rsidP="00FA2BFB">
            <w:pPr>
              <w:jc w:val="right"/>
            </w:pPr>
            <w:r>
              <w:t>66.330,61</w:t>
            </w:r>
          </w:p>
        </w:tc>
        <w:tc>
          <w:tcPr>
            <w:tcW w:w="1542" w:type="dxa"/>
            <w:noWrap/>
            <w:hideMark/>
          </w:tcPr>
          <w:p w14:paraId="3FEA5763" w14:textId="62A1EDE7" w:rsidR="00FA2BFB" w:rsidRPr="00DE5166" w:rsidRDefault="00FA2BFB" w:rsidP="00FA2BFB">
            <w:pPr>
              <w:jc w:val="center"/>
            </w:pPr>
            <w:r>
              <w:t>106,57</w:t>
            </w:r>
            <w:r w:rsidRPr="00DE5166">
              <w:t>%</w:t>
            </w:r>
          </w:p>
        </w:tc>
      </w:tr>
      <w:tr w:rsidR="00FA2BFB" w:rsidRPr="00DE5166" w14:paraId="3069CFCC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27C73108" w14:textId="77777777" w:rsidR="00FA2BFB" w:rsidRPr="00DE5166" w:rsidRDefault="00FA2BFB" w:rsidP="00FA2BFB">
            <w:r w:rsidRPr="00DE5166">
              <w:t xml:space="preserve">37 Naknade građanima i kućanstvima na temelju osiguranja i druge naknade                               </w:t>
            </w:r>
          </w:p>
        </w:tc>
        <w:tc>
          <w:tcPr>
            <w:tcW w:w="2193" w:type="dxa"/>
            <w:noWrap/>
            <w:hideMark/>
          </w:tcPr>
          <w:p w14:paraId="1FB0C06C" w14:textId="2C29FA14" w:rsidR="00FA2BFB" w:rsidRPr="00DE5166" w:rsidRDefault="00FA2BFB" w:rsidP="00FA2BFB">
            <w:pPr>
              <w:jc w:val="right"/>
            </w:pPr>
            <w:r>
              <w:t>292.326,88</w:t>
            </w:r>
          </w:p>
        </w:tc>
        <w:tc>
          <w:tcPr>
            <w:tcW w:w="1900" w:type="dxa"/>
            <w:noWrap/>
            <w:hideMark/>
          </w:tcPr>
          <w:p w14:paraId="5AD2B1C5" w14:textId="78ED09F6" w:rsidR="00FA2BFB" w:rsidRPr="00DE5166" w:rsidRDefault="002201C0" w:rsidP="00FA2BFB">
            <w:pPr>
              <w:jc w:val="right"/>
            </w:pPr>
            <w:r>
              <w:t>409.880,54</w:t>
            </w:r>
          </w:p>
        </w:tc>
        <w:tc>
          <w:tcPr>
            <w:tcW w:w="1542" w:type="dxa"/>
            <w:noWrap/>
            <w:hideMark/>
          </w:tcPr>
          <w:p w14:paraId="5FFAB7CB" w14:textId="1B4ADCFE" w:rsidR="00FA2BFB" w:rsidRPr="00DE5166" w:rsidRDefault="002201C0" w:rsidP="00FA2BFB">
            <w:pPr>
              <w:jc w:val="center"/>
            </w:pPr>
            <w:r>
              <w:t>140,21</w:t>
            </w:r>
            <w:r w:rsidR="00FA2BFB" w:rsidRPr="00DE5166">
              <w:t>%</w:t>
            </w:r>
          </w:p>
        </w:tc>
      </w:tr>
      <w:tr w:rsidR="00FA2BFB" w:rsidRPr="00DE5166" w14:paraId="3DBF55C0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665591E9" w14:textId="77777777" w:rsidR="00FA2BFB" w:rsidRPr="00DE5166" w:rsidRDefault="00FA2BFB" w:rsidP="00FA2BFB">
            <w:r w:rsidRPr="00DE5166">
              <w:t xml:space="preserve">38 Ostali rashodi     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BCB7873" w14:textId="775FA135" w:rsidR="00FA2BFB" w:rsidRPr="00DE5166" w:rsidRDefault="00FA2BFB" w:rsidP="00FA2BFB">
            <w:pPr>
              <w:jc w:val="right"/>
            </w:pPr>
            <w:r>
              <w:t>308.314,35</w:t>
            </w:r>
          </w:p>
        </w:tc>
        <w:tc>
          <w:tcPr>
            <w:tcW w:w="1900" w:type="dxa"/>
            <w:noWrap/>
            <w:hideMark/>
          </w:tcPr>
          <w:p w14:paraId="47D8C7B1" w14:textId="15BF279C" w:rsidR="00FA2BFB" w:rsidRPr="00DE5166" w:rsidRDefault="002201C0" w:rsidP="00FA2BFB">
            <w:pPr>
              <w:jc w:val="right"/>
            </w:pPr>
            <w:r w:rsidRPr="002201C0">
              <w:t>317.129,54</w:t>
            </w:r>
          </w:p>
        </w:tc>
        <w:tc>
          <w:tcPr>
            <w:tcW w:w="1542" w:type="dxa"/>
            <w:noWrap/>
            <w:hideMark/>
          </w:tcPr>
          <w:p w14:paraId="6271AB23" w14:textId="27FBD9A6" w:rsidR="00FA2BFB" w:rsidRPr="00DE5166" w:rsidRDefault="002201C0" w:rsidP="00FA2BFB">
            <w:pPr>
              <w:jc w:val="center"/>
            </w:pPr>
            <w:r w:rsidRPr="002201C0">
              <w:t>102,86</w:t>
            </w:r>
            <w:r w:rsidR="00FA2BFB" w:rsidRPr="00DE5166">
              <w:t>%</w:t>
            </w:r>
          </w:p>
        </w:tc>
      </w:tr>
      <w:tr w:rsidR="00FA2BFB" w:rsidRPr="00DE5166" w14:paraId="3DADFEC3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70498023" w14:textId="77777777" w:rsidR="00FA2BFB" w:rsidRPr="00DE5166" w:rsidRDefault="00FA2BFB" w:rsidP="00FA2BFB">
            <w:pPr>
              <w:rPr>
                <w:b/>
                <w:bCs/>
              </w:rPr>
            </w:pPr>
            <w:r w:rsidRPr="00DE5166">
              <w:rPr>
                <w:b/>
                <w:bCs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4EC5B34D" w14:textId="7D8CB19D" w:rsidR="00FA2BFB" w:rsidRPr="00DE5166" w:rsidRDefault="00FA2BFB" w:rsidP="00FA2B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2.115.178,86</w:t>
            </w:r>
          </w:p>
        </w:tc>
        <w:tc>
          <w:tcPr>
            <w:tcW w:w="1900" w:type="dxa"/>
            <w:noWrap/>
            <w:hideMark/>
          </w:tcPr>
          <w:p w14:paraId="117C8317" w14:textId="3A4BCC4D" w:rsidR="00FA2BFB" w:rsidRPr="00DE5166" w:rsidRDefault="00FA2BFB" w:rsidP="00FA2B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3.243.362,90</w:t>
            </w:r>
          </w:p>
        </w:tc>
        <w:tc>
          <w:tcPr>
            <w:tcW w:w="1542" w:type="dxa"/>
            <w:noWrap/>
            <w:hideMark/>
          </w:tcPr>
          <w:p w14:paraId="70BDD555" w14:textId="77B85EA5" w:rsidR="00FA2BFB" w:rsidRPr="00DE5166" w:rsidRDefault="00FA2BFB" w:rsidP="00FA2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153,34</w:t>
            </w:r>
            <w:r w:rsidRPr="00DE5166">
              <w:rPr>
                <w:b/>
                <w:bCs/>
              </w:rPr>
              <w:t>%</w:t>
            </w:r>
          </w:p>
        </w:tc>
      </w:tr>
      <w:tr w:rsidR="00FA2BFB" w:rsidRPr="00DE5166" w14:paraId="6C92D2EC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5713536F" w14:textId="77777777" w:rsidR="00FA2BFB" w:rsidRPr="00DE5166" w:rsidRDefault="00FA2BFB" w:rsidP="00FA2BFB">
            <w:r w:rsidRPr="00DE5166">
              <w:t xml:space="preserve">41 Rashodi za nabavu neproizvedene dugotrajne imovine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1B74A5F0" w14:textId="63DF6176" w:rsidR="00FA2BFB" w:rsidRPr="00DE5166" w:rsidRDefault="00FA2BFB" w:rsidP="00FA2BFB">
            <w:pPr>
              <w:jc w:val="right"/>
            </w:pPr>
            <w:r>
              <w:t>63.879,21</w:t>
            </w:r>
          </w:p>
        </w:tc>
        <w:tc>
          <w:tcPr>
            <w:tcW w:w="1900" w:type="dxa"/>
            <w:noWrap/>
            <w:hideMark/>
          </w:tcPr>
          <w:p w14:paraId="650EAF25" w14:textId="3969D310" w:rsidR="00FA2BFB" w:rsidRPr="00DE5166" w:rsidRDefault="00FA2BFB" w:rsidP="00FA2BFB">
            <w:pPr>
              <w:jc w:val="right"/>
            </w:pPr>
            <w:r>
              <w:t>46.762,50</w:t>
            </w:r>
          </w:p>
        </w:tc>
        <w:tc>
          <w:tcPr>
            <w:tcW w:w="1542" w:type="dxa"/>
            <w:noWrap/>
            <w:hideMark/>
          </w:tcPr>
          <w:p w14:paraId="7F61F8CD" w14:textId="6C3F7B88" w:rsidR="00FA2BFB" w:rsidRPr="00DE5166" w:rsidRDefault="00FA2BFB" w:rsidP="00FA2BFB">
            <w:pPr>
              <w:jc w:val="center"/>
            </w:pPr>
            <w:r>
              <w:t>73,20</w:t>
            </w:r>
            <w:r w:rsidRPr="00DE5166">
              <w:t>%</w:t>
            </w:r>
          </w:p>
        </w:tc>
      </w:tr>
      <w:tr w:rsidR="00FA2BFB" w:rsidRPr="00DE5166" w14:paraId="7B052FED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57B28AB7" w14:textId="77777777" w:rsidR="00FA2BFB" w:rsidRPr="00DE5166" w:rsidRDefault="00FA2BFB" w:rsidP="00FA2BFB">
            <w:r w:rsidRPr="00DE5166">
              <w:t xml:space="preserve">42 Rashodi za nabavu proizvedene dugotrajne imovine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780665E" w14:textId="334F8CD4" w:rsidR="00FA2BFB" w:rsidRPr="00DE5166" w:rsidRDefault="00FA2BFB" w:rsidP="00FA2BFB">
            <w:pPr>
              <w:jc w:val="right"/>
            </w:pPr>
            <w:r>
              <w:t>100.589,08</w:t>
            </w:r>
          </w:p>
        </w:tc>
        <w:tc>
          <w:tcPr>
            <w:tcW w:w="1900" w:type="dxa"/>
            <w:noWrap/>
            <w:hideMark/>
          </w:tcPr>
          <w:p w14:paraId="13E426D4" w14:textId="16503DEE" w:rsidR="00FA2BFB" w:rsidRPr="00DE5166" w:rsidRDefault="00FA2BFB" w:rsidP="00FA2BFB">
            <w:pPr>
              <w:jc w:val="right"/>
            </w:pPr>
            <w:r>
              <w:t>858.141,22</w:t>
            </w:r>
          </w:p>
        </w:tc>
        <w:tc>
          <w:tcPr>
            <w:tcW w:w="1542" w:type="dxa"/>
            <w:noWrap/>
            <w:hideMark/>
          </w:tcPr>
          <w:p w14:paraId="32B23E1A" w14:textId="1A1D6B06" w:rsidR="00FA2BFB" w:rsidRPr="00DE5166" w:rsidRDefault="00FA2BFB" w:rsidP="00FA2BFB">
            <w:pPr>
              <w:jc w:val="center"/>
            </w:pPr>
            <w:r>
              <w:t>853,12</w:t>
            </w:r>
            <w:r w:rsidRPr="00DE5166">
              <w:t>%</w:t>
            </w:r>
          </w:p>
        </w:tc>
      </w:tr>
      <w:tr w:rsidR="00FA2BFB" w:rsidRPr="00DE5166" w14:paraId="2A308975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110C980D" w14:textId="77777777" w:rsidR="00FA2BFB" w:rsidRPr="00DE5166" w:rsidRDefault="00FA2BFB" w:rsidP="00FA2BFB">
            <w:r w:rsidRPr="00DE5166">
              <w:t xml:space="preserve">45 Rashodi za dodatna ulaganja na nefinancijskoj imovini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2B31F56E" w14:textId="11EFD200" w:rsidR="00FA2BFB" w:rsidRPr="00DE5166" w:rsidRDefault="00FA2BFB" w:rsidP="00FA2BFB">
            <w:pPr>
              <w:jc w:val="right"/>
            </w:pPr>
            <w:r>
              <w:t>1.950.710,57</w:t>
            </w:r>
          </w:p>
        </w:tc>
        <w:tc>
          <w:tcPr>
            <w:tcW w:w="1900" w:type="dxa"/>
            <w:noWrap/>
            <w:hideMark/>
          </w:tcPr>
          <w:p w14:paraId="36A1341C" w14:textId="061BE455" w:rsidR="00FA2BFB" w:rsidRPr="00DE5166" w:rsidRDefault="00FA2BFB" w:rsidP="00FA2BFB">
            <w:pPr>
              <w:jc w:val="right"/>
            </w:pPr>
            <w:r>
              <w:t>2.338.459,18</w:t>
            </w:r>
          </w:p>
        </w:tc>
        <w:tc>
          <w:tcPr>
            <w:tcW w:w="1542" w:type="dxa"/>
            <w:noWrap/>
            <w:hideMark/>
          </w:tcPr>
          <w:p w14:paraId="6158E405" w14:textId="7364BCF6" w:rsidR="00FA2BFB" w:rsidRPr="00DE5166" w:rsidRDefault="00FA2BFB" w:rsidP="00FA2BFB">
            <w:pPr>
              <w:jc w:val="center"/>
            </w:pPr>
            <w:r>
              <w:t>119,88</w:t>
            </w:r>
            <w:r w:rsidRPr="00DE5166">
              <w:t>%</w:t>
            </w:r>
          </w:p>
        </w:tc>
      </w:tr>
    </w:tbl>
    <w:p w14:paraId="3338B590" w14:textId="77777777" w:rsidR="00DE5166" w:rsidRDefault="00DE5166" w:rsidP="001D62E2">
      <w:pPr>
        <w:rPr>
          <w:lang w:val="hr-HR"/>
        </w:rPr>
      </w:pPr>
    </w:p>
    <w:p w14:paraId="34556393" w14:textId="1F7814A9" w:rsidR="00DE5166" w:rsidRDefault="00DE5166" w:rsidP="003C7BAC">
      <w:pPr>
        <w:jc w:val="center"/>
        <w:rPr>
          <w:noProof/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5CBD48FF" wp14:editId="28D387EC">
            <wp:extent cx="8667750" cy="4629150"/>
            <wp:effectExtent l="0" t="0" r="0" b="0"/>
            <wp:docPr id="205798608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444A0B" w14:textId="77777777" w:rsidR="009D7058" w:rsidRDefault="009D7058" w:rsidP="009D7058">
      <w:pPr>
        <w:rPr>
          <w:lang w:val="hr-HR"/>
        </w:rPr>
      </w:pPr>
    </w:p>
    <w:p w14:paraId="52B20756" w14:textId="77777777" w:rsidR="00884C89" w:rsidRDefault="00884C89" w:rsidP="009D7058">
      <w:pPr>
        <w:rPr>
          <w:lang w:val="hr-HR"/>
        </w:rPr>
      </w:pPr>
    </w:p>
    <w:p w14:paraId="5E60FD28" w14:textId="77777777" w:rsidR="00884C89" w:rsidRDefault="00884C89" w:rsidP="009D7058">
      <w:pPr>
        <w:rPr>
          <w:lang w:val="hr-HR"/>
        </w:rPr>
      </w:pPr>
    </w:p>
    <w:p w14:paraId="3890C18B" w14:textId="77777777" w:rsidR="00884C89" w:rsidRPr="009D7058" w:rsidRDefault="00884C89" w:rsidP="009D7058">
      <w:pPr>
        <w:rPr>
          <w:lang w:val="hr-HR"/>
        </w:rPr>
      </w:pPr>
    </w:p>
    <w:p w14:paraId="7891372C" w14:textId="77777777" w:rsidR="009D7058" w:rsidRDefault="009D7058" w:rsidP="009D7058">
      <w:pPr>
        <w:rPr>
          <w:noProof/>
          <w:lang w:val="hr-HR"/>
        </w:rPr>
      </w:pPr>
    </w:p>
    <w:p w14:paraId="5299D1DF" w14:textId="5D799113" w:rsidR="009D7058" w:rsidRDefault="009D7058" w:rsidP="009D7058">
      <w:pPr>
        <w:rPr>
          <w:b/>
          <w:bCs/>
          <w:noProof/>
          <w:lang w:val="hr-HR"/>
        </w:rPr>
      </w:pPr>
      <w:r w:rsidRPr="009D7058">
        <w:rPr>
          <w:b/>
          <w:bCs/>
          <w:noProof/>
          <w:lang w:val="hr-HR"/>
        </w:rPr>
        <w:lastRenderedPageBreak/>
        <w:t>RAČUN PRIHODA I RASHODA PREMA IZVORIMA FINANCIRANJA</w:t>
      </w:r>
    </w:p>
    <w:p w14:paraId="62F0BC0F" w14:textId="63E97B55" w:rsidR="00F027E8" w:rsidRPr="009D7058" w:rsidRDefault="00464A7F" w:rsidP="003C7BAC">
      <w:pPr>
        <w:jc w:val="center"/>
        <w:rPr>
          <w:b/>
          <w:bCs/>
          <w:noProof/>
          <w:lang w:val="hr-HR"/>
        </w:rPr>
      </w:pPr>
      <w:r>
        <w:rPr>
          <w:b/>
          <w:bCs/>
          <w:noProof/>
          <w:lang w:val="hr-HR"/>
        </w:rPr>
        <w:drawing>
          <wp:inline distT="0" distB="0" distL="0" distR="0" wp14:anchorId="0F2D69E9" wp14:editId="0FCD9925">
            <wp:extent cx="8892540" cy="2883535"/>
            <wp:effectExtent l="0" t="0" r="3810" b="0"/>
            <wp:docPr id="7220888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88856" name="Slika 7220888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CA103" w14:textId="77777777" w:rsidR="0015150E" w:rsidRDefault="0015150E" w:rsidP="0015150E">
      <w:pPr>
        <w:jc w:val="both"/>
        <w:rPr>
          <w:lang w:val="hr-HR"/>
        </w:rPr>
      </w:pPr>
    </w:p>
    <w:p w14:paraId="41C6312B" w14:textId="5BB5E7AD" w:rsidR="009D7058" w:rsidRDefault="00F027E8" w:rsidP="0015150E">
      <w:pPr>
        <w:jc w:val="both"/>
        <w:rPr>
          <w:lang w:val="hr-HR"/>
        </w:rPr>
      </w:pPr>
      <w:r>
        <w:rPr>
          <w:lang w:val="hr-HR"/>
        </w:rPr>
        <w:t>Kada se izvršeni prihodi u 202</w:t>
      </w:r>
      <w:r w:rsidR="007E3793">
        <w:rPr>
          <w:lang w:val="hr-HR"/>
        </w:rPr>
        <w:t>5</w:t>
      </w:r>
      <w:r>
        <w:rPr>
          <w:lang w:val="hr-HR"/>
        </w:rPr>
        <w:t xml:space="preserve">. godini analiziraju prema izvorima financiranja, najveći udio zauzimaju pomoći iz državnog i županijskog proračuna s iznosom </w:t>
      </w:r>
      <w:r w:rsidR="007E3793">
        <w:rPr>
          <w:lang w:val="hr-HR"/>
        </w:rPr>
        <w:t>2.737.189,99</w:t>
      </w:r>
      <w:r>
        <w:rPr>
          <w:lang w:val="hr-HR"/>
        </w:rPr>
        <w:t xml:space="preserve"> eura što je </w:t>
      </w:r>
      <w:r w:rsidR="007E3793">
        <w:rPr>
          <w:lang w:val="hr-HR"/>
        </w:rPr>
        <w:t>58,53</w:t>
      </w:r>
      <w:r>
        <w:rPr>
          <w:lang w:val="hr-HR"/>
        </w:rPr>
        <w:t xml:space="preserve">% ukupnih prihoda iz razloga što Općina Dubrava aktivno prati natječaje koje raspisuju državna tijela i Zagrebačka županija te </w:t>
      </w:r>
      <w:r w:rsidR="003C7BAC">
        <w:rPr>
          <w:lang w:val="hr-HR"/>
        </w:rPr>
        <w:t xml:space="preserve">se prijavljuje za sufinanciranje projekata usmjerenih prema boljitku života svih sumještana. Sljedeći po udjelu su opći prihodi i primici koji su glavni i u pravilu najveći prihod jedinice lokalne samouprave s </w:t>
      </w:r>
      <w:r w:rsidR="007E3793">
        <w:rPr>
          <w:lang w:val="hr-HR"/>
        </w:rPr>
        <w:t>1.592.189,05</w:t>
      </w:r>
      <w:r w:rsidR="003C7BAC">
        <w:rPr>
          <w:lang w:val="hr-HR"/>
        </w:rPr>
        <w:t xml:space="preserve"> eura što je </w:t>
      </w:r>
      <w:r w:rsidR="007E3793">
        <w:rPr>
          <w:lang w:val="hr-HR"/>
        </w:rPr>
        <w:t>34,04</w:t>
      </w:r>
      <w:r w:rsidR="003C7BAC">
        <w:rPr>
          <w:lang w:val="hr-HR"/>
        </w:rPr>
        <w:t>% dok su prihodi za posebne namjene i vlastiti prihodi koji se odnose na prihod Dječjeg vrtića Dubrava u odnosu na spomenute glavne prihode u manje značajnim udjelima.</w:t>
      </w:r>
    </w:p>
    <w:p w14:paraId="4EDEDF6F" w14:textId="73586F4F" w:rsidR="004C7A37" w:rsidRDefault="007E3793" w:rsidP="0015150E">
      <w:pPr>
        <w:jc w:val="both"/>
        <w:rPr>
          <w:lang w:val="hr-HR"/>
        </w:rPr>
      </w:pPr>
      <w:r>
        <w:rPr>
          <w:lang w:val="hr-HR"/>
        </w:rPr>
        <w:t>Kod i</w:t>
      </w:r>
      <w:r w:rsidR="003C7BAC">
        <w:rPr>
          <w:lang w:val="hr-HR"/>
        </w:rPr>
        <w:t>zvršeni</w:t>
      </w:r>
      <w:r>
        <w:rPr>
          <w:lang w:val="hr-HR"/>
        </w:rPr>
        <w:t>h</w:t>
      </w:r>
      <w:r w:rsidR="003C7BAC">
        <w:rPr>
          <w:lang w:val="hr-HR"/>
        </w:rPr>
        <w:t xml:space="preserve"> rashod</w:t>
      </w:r>
      <w:r>
        <w:rPr>
          <w:lang w:val="hr-HR"/>
        </w:rPr>
        <w:t>a</w:t>
      </w:r>
      <w:r w:rsidR="003C7BAC">
        <w:rPr>
          <w:lang w:val="hr-HR"/>
        </w:rPr>
        <w:t xml:space="preserve"> </w:t>
      </w:r>
      <w:r>
        <w:rPr>
          <w:lang w:val="hr-HR"/>
        </w:rPr>
        <w:t xml:space="preserve">najveći udio zauzimaju rashodi realizirani iz </w:t>
      </w:r>
      <w:r w:rsidR="00464A7F">
        <w:rPr>
          <w:lang w:val="hr-HR"/>
        </w:rPr>
        <w:t xml:space="preserve">općih prihoda i primitaka 2.420.272,80 eura, slijede rashodi realizirani iz </w:t>
      </w:r>
      <w:r>
        <w:rPr>
          <w:lang w:val="hr-HR"/>
        </w:rPr>
        <w:t xml:space="preserve">namjenskih primitaka od zaduživanja 2.215.817,94 eura i rashodi realizirani iz pomoći </w:t>
      </w:r>
      <w:r w:rsidR="00464A7F">
        <w:rPr>
          <w:lang w:val="hr-HR"/>
        </w:rPr>
        <w:t>1.076.110,21</w:t>
      </w:r>
      <w:r w:rsidR="003C7BAC">
        <w:rPr>
          <w:lang w:val="hr-HR"/>
        </w:rPr>
        <w:t xml:space="preserve">. Rashodi financirani iz izvora prihodi za posebne namjene su realizirani u iznosu </w:t>
      </w:r>
      <w:r>
        <w:rPr>
          <w:lang w:val="hr-HR"/>
        </w:rPr>
        <w:t>169.205,65</w:t>
      </w:r>
      <w:r w:rsidR="00C910BD">
        <w:rPr>
          <w:lang w:val="hr-HR"/>
        </w:rPr>
        <w:t xml:space="preserve"> eura.</w:t>
      </w:r>
      <w:r w:rsidR="003C7BAC">
        <w:rPr>
          <w:lang w:val="hr-HR"/>
        </w:rPr>
        <w:t xml:space="preserve"> </w:t>
      </w:r>
    </w:p>
    <w:p w14:paraId="13DF20D1" w14:textId="5C34848D" w:rsidR="003C7BAC" w:rsidRDefault="00C910BD" w:rsidP="0015150E">
      <w:pPr>
        <w:jc w:val="both"/>
        <w:rPr>
          <w:lang w:val="hr-HR"/>
        </w:rPr>
      </w:pPr>
      <w:r>
        <w:rPr>
          <w:lang w:val="hr-HR"/>
        </w:rPr>
        <w:t>K</w:t>
      </w:r>
      <w:r w:rsidR="003C7BAC">
        <w:rPr>
          <w:lang w:val="hr-HR"/>
        </w:rPr>
        <w:t xml:space="preserve">od </w:t>
      </w:r>
      <w:r w:rsidR="004C7A37">
        <w:rPr>
          <w:lang w:val="hr-HR"/>
        </w:rPr>
        <w:t>izvora</w:t>
      </w:r>
      <w:r w:rsidR="00E31235">
        <w:rPr>
          <w:lang w:val="hr-HR"/>
        </w:rPr>
        <w:t xml:space="preserve"> </w:t>
      </w:r>
      <w:r w:rsidR="003C7BAC">
        <w:rPr>
          <w:lang w:val="hr-HR"/>
        </w:rPr>
        <w:t xml:space="preserve">pomoći prihodi </w:t>
      </w:r>
      <w:r w:rsidR="004C7A37">
        <w:rPr>
          <w:lang w:val="hr-HR"/>
        </w:rPr>
        <w:t xml:space="preserve">su ostvareni u većem iznosu </w:t>
      </w:r>
      <w:r w:rsidR="003C7BAC">
        <w:rPr>
          <w:lang w:val="hr-HR"/>
        </w:rPr>
        <w:t>nego realizirani rashodi</w:t>
      </w:r>
      <w:r w:rsidR="004C7A37">
        <w:rPr>
          <w:lang w:val="hr-HR"/>
        </w:rPr>
        <w:t>, a to je</w:t>
      </w:r>
      <w:r w:rsidR="003D4C6D">
        <w:rPr>
          <w:lang w:val="hr-HR"/>
        </w:rPr>
        <w:t xml:space="preserve"> </w:t>
      </w:r>
      <w:r w:rsidR="003C7BAC">
        <w:rPr>
          <w:lang w:val="hr-HR"/>
        </w:rPr>
        <w:t xml:space="preserve">iz razloga što prihod Zagrebačke županije ostvaren za </w:t>
      </w:r>
      <w:r w:rsidR="00DB58BC">
        <w:rPr>
          <w:lang w:val="hr-HR"/>
        </w:rPr>
        <w:t>razvoj poduzetničke zone Berek</w:t>
      </w:r>
      <w:r w:rsidR="005400C6">
        <w:rPr>
          <w:lang w:val="hr-HR"/>
        </w:rPr>
        <w:t xml:space="preserve"> 150.000,00 eura, asfaltiranje 70.000,00 eura</w:t>
      </w:r>
      <w:r w:rsidR="004C7A37">
        <w:rPr>
          <w:lang w:val="hr-HR"/>
        </w:rPr>
        <w:t xml:space="preserve"> i</w:t>
      </w:r>
      <w:r w:rsidR="00DB58BC">
        <w:rPr>
          <w:lang w:val="hr-HR"/>
        </w:rPr>
        <w:t xml:space="preserve"> ograda Mjesno groblje u Dubravi</w:t>
      </w:r>
      <w:r w:rsidR="005400C6">
        <w:rPr>
          <w:lang w:val="hr-HR"/>
        </w:rPr>
        <w:t xml:space="preserve"> 40.487,00 eura</w:t>
      </w:r>
      <w:r w:rsidR="00DB58BC">
        <w:rPr>
          <w:lang w:val="hr-HR"/>
        </w:rPr>
        <w:t xml:space="preserve"> </w:t>
      </w:r>
      <w:r w:rsidR="004C7A37">
        <w:rPr>
          <w:lang w:val="hr-HR"/>
        </w:rPr>
        <w:t>nisu realizirani u 2025. godini</w:t>
      </w:r>
      <w:r w:rsidR="005400C6">
        <w:rPr>
          <w:lang w:val="hr-HR"/>
        </w:rPr>
        <w:t xml:space="preserve"> te potpora zaprimljena od APPRRR-a od </w:t>
      </w:r>
      <w:r w:rsidR="005400C6" w:rsidRPr="00E56DB6">
        <w:rPr>
          <w:lang w:val="hr-HR"/>
        </w:rPr>
        <w:t>996.761,20</w:t>
      </w:r>
      <w:r w:rsidR="005400C6">
        <w:rPr>
          <w:lang w:val="hr-HR"/>
        </w:rPr>
        <w:t xml:space="preserve"> eura</w:t>
      </w:r>
      <w:r w:rsidR="004C7A37">
        <w:rPr>
          <w:lang w:val="hr-HR"/>
        </w:rPr>
        <w:t>.</w:t>
      </w:r>
    </w:p>
    <w:p w14:paraId="2651FCBF" w14:textId="77777777" w:rsidR="003C7BAC" w:rsidRDefault="003C7BAC" w:rsidP="009D7058">
      <w:pPr>
        <w:rPr>
          <w:lang w:val="hr-HR"/>
        </w:rPr>
      </w:pPr>
    </w:p>
    <w:p w14:paraId="3D688EB7" w14:textId="4CE3C945" w:rsidR="003C7BAC" w:rsidRDefault="003C7BAC" w:rsidP="003C7BAC">
      <w:pPr>
        <w:jc w:val="center"/>
        <w:rPr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59AD48C9" wp14:editId="52BDB603">
            <wp:extent cx="5655945" cy="2615610"/>
            <wp:effectExtent l="0" t="0" r="1905" b="13335"/>
            <wp:docPr id="581340171" name="Grafikon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DA80ED" w14:textId="77777777" w:rsidR="009D7058" w:rsidRPr="009D7058" w:rsidRDefault="009D7058" w:rsidP="009D7058">
      <w:pPr>
        <w:rPr>
          <w:lang w:val="hr-HR"/>
        </w:rPr>
      </w:pPr>
    </w:p>
    <w:p w14:paraId="304A8C8F" w14:textId="218AE032" w:rsidR="009D7058" w:rsidRPr="003D4208" w:rsidRDefault="009D7058" w:rsidP="009D7058">
      <w:pPr>
        <w:rPr>
          <w:b/>
          <w:bCs/>
          <w:lang w:val="hr-HR"/>
        </w:rPr>
      </w:pPr>
      <w:r w:rsidRPr="003D4208">
        <w:rPr>
          <w:b/>
          <w:bCs/>
          <w:lang w:val="hr-HR"/>
        </w:rPr>
        <w:t>IZVJEŠTAJ O RASHODIMA PREMA FUNKCIJSKOJ KLASIFIKACIJI</w:t>
      </w:r>
    </w:p>
    <w:p w14:paraId="71053166" w14:textId="3A90182B" w:rsidR="009D7058" w:rsidRDefault="003D4208" w:rsidP="0015150E">
      <w:pPr>
        <w:jc w:val="both"/>
        <w:rPr>
          <w:lang w:val="hr-HR"/>
        </w:rPr>
      </w:pPr>
      <w:r>
        <w:rPr>
          <w:lang w:val="hr-HR"/>
        </w:rPr>
        <w:t xml:space="preserve">Prema izvještaju o funkcijskoj klasifikaciji vidljivo je da je najznačajnije ulaganje u </w:t>
      </w:r>
      <w:r w:rsidR="004C7A37">
        <w:rPr>
          <w:lang w:val="hr-HR"/>
        </w:rPr>
        <w:t>Obrazovanje</w:t>
      </w:r>
      <w:r>
        <w:rPr>
          <w:lang w:val="hr-HR"/>
        </w:rPr>
        <w:t xml:space="preserve"> u iznosu </w:t>
      </w:r>
      <w:r w:rsidR="004C7A37">
        <w:rPr>
          <w:lang w:val="hr-HR"/>
        </w:rPr>
        <w:t>3.043.484,66</w:t>
      </w:r>
      <w:r>
        <w:rPr>
          <w:lang w:val="hr-HR"/>
        </w:rPr>
        <w:t xml:space="preserve"> eura</w:t>
      </w:r>
      <w:r w:rsidR="005C1C93">
        <w:rPr>
          <w:lang w:val="hr-HR"/>
        </w:rPr>
        <w:t xml:space="preserve"> što je </w:t>
      </w:r>
      <w:r w:rsidR="004C7A37">
        <w:rPr>
          <w:lang w:val="hr-HR"/>
        </w:rPr>
        <w:t>737,70</w:t>
      </w:r>
      <w:r w:rsidR="005C1C93">
        <w:rPr>
          <w:lang w:val="hr-HR"/>
        </w:rPr>
        <w:t>% više nego u prethodnoj godini</w:t>
      </w:r>
      <w:r w:rsidR="004C7A37">
        <w:rPr>
          <w:lang w:val="hr-HR"/>
        </w:rPr>
        <w:t xml:space="preserve"> iz razloga što je u 2025. godini dovršen projekt rekonstrukcije i dogradnje zgrade dječjeg vrtića</w:t>
      </w:r>
      <w:r w:rsidR="00C44A71">
        <w:rPr>
          <w:lang w:val="hr-HR"/>
        </w:rPr>
        <w:t xml:space="preserve">. </w:t>
      </w:r>
      <w:r w:rsidR="004C7A37">
        <w:rPr>
          <w:lang w:val="hr-HR"/>
        </w:rPr>
        <w:t>Rekreacija, kultura i religija s realiziranom vrijednosti od 999.693,58 eura su drugi najveći rashod prema funkcijskoj klasifikaciji</w:t>
      </w:r>
      <w:r w:rsidR="00FB3A37">
        <w:rPr>
          <w:lang w:val="hr-HR"/>
        </w:rPr>
        <w:t xml:space="preserve">, a obuhvaćaju ulaganja na nogometnom igralištu NK Dubrava, donacije Športskoj zajednici, Župi svete Margarete te rashode za kulturu poput DubravaFesta. </w:t>
      </w:r>
      <w:r w:rsidR="00C44A71">
        <w:rPr>
          <w:lang w:val="hr-HR"/>
        </w:rPr>
        <w:t>Usluge unapređenja stanovanja obuhvaćaju usluge za razvoj stanovanja, razvoj zajednice, opskrbu vodom, uličnu rasvjetu, istraživanje i razvoj stanovanja i komunalnih pogodnosti te ostali rashodi vezani za stanovanje i komunalne pogodnosti koji nisu drugdje svrstani</w:t>
      </w:r>
      <w:r w:rsidR="004C7A37">
        <w:rPr>
          <w:lang w:val="hr-HR"/>
        </w:rPr>
        <w:t xml:space="preserve"> te zauzimaju treći najveći udio prema funkcijskoj klasifikaciji s iznosom 675.915,29 eura</w:t>
      </w:r>
      <w:r w:rsidR="00C44A71">
        <w:rPr>
          <w:lang w:val="hr-HR"/>
        </w:rPr>
        <w:t xml:space="preserve">. </w:t>
      </w:r>
      <w:r w:rsidR="005C1C93">
        <w:rPr>
          <w:lang w:val="hr-HR"/>
        </w:rPr>
        <w:t xml:space="preserve"> </w:t>
      </w:r>
      <w:r>
        <w:rPr>
          <w:lang w:val="hr-HR"/>
        </w:rPr>
        <w:t>Zatim slijed</w:t>
      </w:r>
      <w:r w:rsidR="00EE1608">
        <w:rPr>
          <w:lang w:val="hr-HR"/>
        </w:rPr>
        <w:t xml:space="preserve">e opće javne usluge </w:t>
      </w:r>
      <w:r w:rsidR="00FB3A37">
        <w:rPr>
          <w:lang w:val="hr-HR"/>
        </w:rPr>
        <w:t>s 491.953,56</w:t>
      </w:r>
      <w:r w:rsidR="00EE1608">
        <w:rPr>
          <w:lang w:val="hr-HR"/>
        </w:rPr>
        <w:t xml:space="preserve"> eura i</w:t>
      </w:r>
      <w:r>
        <w:rPr>
          <w:lang w:val="hr-HR"/>
        </w:rPr>
        <w:t xml:space="preserve"> </w:t>
      </w:r>
      <w:r w:rsidR="00FB3A37">
        <w:rPr>
          <w:lang w:val="hr-HR"/>
        </w:rPr>
        <w:t>socijalna zaštita 319.777,95</w:t>
      </w:r>
      <w:r w:rsidR="00EE1608">
        <w:rPr>
          <w:lang w:val="hr-HR"/>
        </w:rPr>
        <w:t xml:space="preserve"> eura.</w:t>
      </w:r>
      <w:r>
        <w:rPr>
          <w:lang w:val="hr-HR"/>
        </w:rPr>
        <w:t xml:space="preserve"> </w:t>
      </w:r>
    </w:p>
    <w:p w14:paraId="46BEC761" w14:textId="676CF3D9" w:rsidR="009D7058" w:rsidRDefault="00FB3A37" w:rsidP="009D7058">
      <w:pPr>
        <w:rPr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59D3C9EF" wp14:editId="49C97A19">
            <wp:extent cx="8792802" cy="6392167"/>
            <wp:effectExtent l="0" t="0" r="8890" b="8890"/>
            <wp:docPr id="59209168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91683" name="Slika 59209168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802" cy="63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EA22E" w14:textId="77777777" w:rsidR="00DC2068" w:rsidRDefault="00DC2068" w:rsidP="009D7058">
      <w:pPr>
        <w:rPr>
          <w:lang w:val="hr-HR"/>
        </w:rPr>
      </w:pPr>
    </w:p>
    <w:p w14:paraId="2CE8F4FC" w14:textId="4734EE8A" w:rsidR="00DC2068" w:rsidRDefault="00DC2068" w:rsidP="00DC2068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54AFF608" wp14:editId="06B61A46">
            <wp:extent cx="8623005" cy="3721396"/>
            <wp:effectExtent l="0" t="0" r="6985" b="12700"/>
            <wp:docPr id="884698954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7A59D5" w14:textId="77777777" w:rsidR="00DC2068" w:rsidRDefault="00DC2068" w:rsidP="00DC2068">
      <w:pPr>
        <w:jc w:val="center"/>
        <w:rPr>
          <w:lang w:val="hr-HR"/>
        </w:rPr>
      </w:pPr>
    </w:p>
    <w:p w14:paraId="52E2C1F0" w14:textId="04EB5D23" w:rsidR="00DC2068" w:rsidRPr="00DC2068" w:rsidRDefault="00DC2068" w:rsidP="00DC2068">
      <w:pPr>
        <w:rPr>
          <w:b/>
          <w:bCs/>
          <w:lang w:val="hr-HR"/>
        </w:rPr>
      </w:pPr>
      <w:r w:rsidRPr="00DC2068">
        <w:rPr>
          <w:b/>
          <w:bCs/>
          <w:lang w:val="hr-HR"/>
        </w:rPr>
        <w:t>RAČUN FINANCIRANJA PREMA EKONOMSKOJ KLASIFIKACIJI</w:t>
      </w:r>
    </w:p>
    <w:p w14:paraId="1B8774AB" w14:textId="11B4ADDF" w:rsidR="00DC2068" w:rsidRDefault="00DC2068" w:rsidP="0015150E">
      <w:pPr>
        <w:jc w:val="both"/>
        <w:rPr>
          <w:lang w:val="hr-HR"/>
        </w:rPr>
      </w:pPr>
      <w:r>
        <w:rPr>
          <w:lang w:val="hr-HR"/>
        </w:rPr>
        <w:t>Račun financiranja prema ekonomskoj klasifikaciji u 202</w:t>
      </w:r>
      <w:r w:rsidR="00FB3A37">
        <w:rPr>
          <w:lang w:val="hr-HR"/>
        </w:rPr>
        <w:t>5</w:t>
      </w:r>
      <w:r>
        <w:rPr>
          <w:lang w:val="hr-HR"/>
        </w:rPr>
        <w:t xml:space="preserve">. godini ostvaren je </w:t>
      </w:r>
      <w:r w:rsidR="00EE1608">
        <w:rPr>
          <w:lang w:val="hr-HR"/>
        </w:rPr>
        <w:t xml:space="preserve">primici od financijske imovine i zaduživanja </w:t>
      </w:r>
      <w:r>
        <w:rPr>
          <w:lang w:val="hr-HR"/>
        </w:rPr>
        <w:t>u</w:t>
      </w:r>
      <w:r w:rsidR="00EE1608">
        <w:rPr>
          <w:lang w:val="hr-HR"/>
        </w:rPr>
        <w:t xml:space="preserve"> iznosu </w:t>
      </w:r>
      <w:r w:rsidR="00FB3A37">
        <w:rPr>
          <w:lang w:val="hr-HR"/>
        </w:rPr>
        <w:t>2.215.817,94</w:t>
      </w:r>
      <w:r w:rsidR="00EE1608">
        <w:rPr>
          <w:lang w:val="hr-HR"/>
        </w:rPr>
        <w:t xml:space="preserve"> eura te izdaci za otplatu glavnice primljenih kredita i zajmova </w:t>
      </w:r>
      <w:r w:rsidR="00FB3A37">
        <w:rPr>
          <w:lang w:val="hr-HR"/>
        </w:rPr>
        <w:t>53.802,61</w:t>
      </w:r>
      <w:r w:rsidR="00EE1608">
        <w:rPr>
          <w:lang w:val="hr-HR"/>
        </w:rPr>
        <w:t xml:space="preserve"> euro. Primici se odnose na korišteni dio odobrenog kredita HBOR-a za uplate pristiglih situacija izvođača radova na rekonstrukciji i nadogradnji Dječjeg vrtića, dok se izdaci odnose na </w:t>
      </w:r>
      <w:r>
        <w:rPr>
          <w:lang w:val="hr-HR"/>
        </w:rPr>
        <w:t xml:space="preserve"> sudjelovanje u otplati kredita Komunalac Vrbovec d.o.o. koji se plaća po kvartalnim anuitetima</w:t>
      </w:r>
      <w:r w:rsidR="00FB3A37">
        <w:rPr>
          <w:lang w:val="hr-HR"/>
        </w:rPr>
        <w:t xml:space="preserve"> te otplaćene 2 rate kredita za projekt rekonstrukcije i dogradnje Dječjeg vrtića</w:t>
      </w:r>
      <w:r>
        <w:rPr>
          <w:lang w:val="hr-HR"/>
        </w:rPr>
        <w:t>.</w:t>
      </w:r>
    </w:p>
    <w:p w14:paraId="64D8A53E" w14:textId="77777777" w:rsidR="00DC2068" w:rsidRDefault="00DC2068" w:rsidP="0015150E">
      <w:pPr>
        <w:jc w:val="both"/>
        <w:rPr>
          <w:lang w:val="hr-HR"/>
        </w:rPr>
      </w:pPr>
    </w:p>
    <w:p w14:paraId="7C0E4167" w14:textId="29506867" w:rsidR="00DC2068" w:rsidRDefault="00FB3A37" w:rsidP="00DC2068">
      <w:pPr>
        <w:jc w:val="center"/>
        <w:rPr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0CC2025A" wp14:editId="71EE8926">
            <wp:extent cx="8892540" cy="1582420"/>
            <wp:effectExtent l="0" t="0" r="3810" b="0"/>
            <wp:docPr id="102029952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299521" name="Slika 102029952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C3E27" w14:textId="77777777" w:rsidR="00DC2068" w:rsidRDefault="00DC2068" w:rsidP="00DC2068">
      <w:pPr>
        <w:jc w:val="center"/>
        <w:rPr>
          <w:lang w:val="hr-HR"/>
        </w:rPr>
      </w:pPr>
    </w:p>
    <w:p w14:paraId="7EBC6C0D" w14:textId="70FCC0C4" w:rsidR="00DC2068" w:rsidRPr="00DC2068" w:rsidRDefault="00DC2068" w:rsidP="00DC2068">
      <w:pPr>
        <w:rPr>
          <w:b/>
          <w:bCs/>
          <w:lang w:val="hr-HR"/>
        </w:rPr>
      </w:pPr>
      <w:r w:rsidRPr="00DC2068">
        <w:rPr>
          <w:b/>
          <w:bCs/>
          <w:lang w:val="hr-HR"/>
        </w:rPr>
        <w:t>RAČUN FINANCIRANJA PREMA IZVORIMA</w:t>
      </w:r>
    </w:p>
    <w:p w14:paraId="51C841CE" w14:textId="7F738674" w:rsidR="00DC2068" w:rsidRDefault="00E129AA" w:rsidP="0015150E">
      <w:pPr>
        <w:jc w:val="both"/>
        <w:rPr>
          <w:lang w:val="hr-HR"/>
        </w:rPr>
      </w:pPr>
      <w:r>
        <w:rPr>
          <w:lang w:val="hr-HR"/>
        </w:rPr>
        <w:t>U Računu financiranja prema izvorima, primici su namjenski primici od zaduživanja dok je o</w:t>
      </w:r>
      <w:r w:rsidR="00DC2068">
        <w:rPr>
          <w:lang w:val="hr-HR"/>
        </w:rPr>
        <w:t xml:space="preserve">tplatu svojeg udjela u kreditu poduzeća Komunalac Vrbovec d.o.o. </w:t>
      </w:r>
      <w:r w:rsidR="00500802">
        <w:rPr>
          <w:lang w:val="hr-HR"/>
        </w:rPr>
        <w:t xml:space="preserve">za sanaciju odlagališta „Beljavine“ </w:t>
      </w:r>
      <w:r w:rsidR="00DC2068">
        <w:rPr>
          <w:lang w:val="hr-HR"/>
        </w:rPr>
        <w:t>Općina Dubrava financira iz općih prihoda i primitaka</w:t>
      </w:r>
      <w:r w:rsidR="00FB3A37">
        <w:rPr>
          <w:lang w:val="hr-HR"/>
        </w:rPr>
        <w:t>, a vlastiti kredit HBOR-a iz državnih pomoći</w:t>
      </w:r>
      <w:r w:rsidR="00DC2068">
        <w:rPr>
          <w:lang w:val="hr-HR"/>
        </w:rPr>
        <w:t>.</w:t>
      </w:r>
    </w:p>
    <w:p w14:paraId="47B884B4" w14:textId="15EBA06E" w:rsidR="00DC2068" w:rsidRDefault="00F46F47" w:rsidP="00DC2068">
      <w:pPr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0B765895" wp14:editId="6487DC27">
            <wp:extent cx="8892540" cy="1382395"/>
            <wp:effectExtent l="0" t="0" r="3810" b="8255"/>
            <wp:docPr id="158798043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80438" name="Slika 158798043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53500" w14:textId="77777777" w:rsidR="002A09BA" w:rsidRDefault="002A09BA" w:rsidP="00393E3E">
      <w:pPr>
        <w:jc w:val="center"/>
        <w:rPr>
          <w:b/>
          <w:bCs/>
          <w:lang w:val="hr-HR"/>
        </w:rPr>
      </w:pPr>
    </w:p>
    <w:p w14:paraId="39D91BBF" w14:textId="77777777" w:rsidR="00884C89" w:rsidRDefault="00884C89" w:rsidP="00393E3E">
      <w:pPr>
        <w:jc w:val="center"/>
        <w:rPr>
          <w:b/>
          <w:bCs/>
          <w:lang w:val="hr-HR"/>
        </w:rPr>
      </w:pPr>
    </w:p>
    <w:p w14:paraId="7AEEE5D3" w14:textId="77777777" w:rsidR="00884C89" w:rsidRDefault="00884C89" w:rsidP="00393E3E">
      <w:pPr>
        <w:jc w:val="center"/>
        <w:rPr>
          <w:b/>
          <w:bCs/>
          <w:lang w:val="hr-HR"/>
        </w:rPr>
      </w:pPr>
    </w:p>
    <w:p w14:paraId="58EFDC83" w14:textId="77777777" w:rsidR="00884C89" w:rsidRDefault="00884C89" w:rsidP="00393E3E">
      <w:pPr>
        <w:jc w:val="center"/>
        <w:rPr>
          <w:b/>
          <w:bCs/>
          <w:lang w:val="hr-HR"/>
        </w:rPr>
      </w:pPr>
    </w:p>
    <w:p w14:paraId="57CBC309" w14:textId="77777777" w:rsidR="00884C89" w:rsidRDefault="00884C89" w:rsidP="00393E3E">
      <w:pPr>
        <w:jc w:val="center"/>
        <w:rPr>
          <w:b/>
          <w:bCs/>
          <w:lang w:val="hr-HR"/>
        </w:rPr>
      </w:pPr>
    </w:p>
    <w:p w14:paraId="6606829C" w14:textId="77777777" w:rsidR="00884C89" w:rsidRDefault="00884C89" w:rsidP="00393E3E">
      <w:pPr>
        <w:jc w:val="center"/>
        <w:rPr>
          <w:b/>
          <w:bCs/>
          <w:lang w:val="hr-HR"/>
        </w:rPr>
      </w:pPr>
    </w:p>
    <w:p w14:paraId="40B92337" w14:textId="77777777" w:rsidR="00884C89" w:rsidRDefault="00884C89" w:rsidP="00393E3E">
      <w:pPr>
        <w:jc w:val="center"/>
        <w:rPr>
          <w:b/>
          <w:bCs/>
          <w:lang w:val="hr-HR"/>
        </w:rPr>
      </w:pPr>
    </w:p>
    <w:p w14:paraId="32646997" w14:textId="77777777" w:rsidR="00884C89" w:rsidRDefault="00884C89" w:rsidP="00393E3E">
      <w:pPr>
        <w:jc w:val="center"/>
        <w:rPr>
          <w:b/>
          <w:bCs/>
          <w:lang w:val="hr-HR"/>
        </w:rPr>
      </w:pPr>
    </w:p>
    <w:p w14:paraId="7F4129E3" w14:textId="1C22D940" w:rsidR="00393E3E" w:rsidRPr="00393E3E" w:rsidRDefault="002A09BA" w:rsidP="00393E3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</w:t>
      </w:r>
      <w:r w:rsidR="00393E3E" w:rsidRPr="00393E3E">
        <w:rPr>
          <w:b/>
          <w:bCs/>
          <w:lang w:val="hr-HR"/>
        </w:rPr>
        <w:t xml:space="preserve"> 4.</w:t>
      </w:r>
    </w:p>
    <w:p w14:paraId="62CCDCE6" w14:textId="59A3E2D0" w:rsidR="00393E3E" w:rsidRDefault="00393E3E" w:rsidP="00393E3E">
      <w:pPr>
        <w:jc w:val="center"/>
        <w:rPr>
          <w:b/>
          <w:bCs/>
          <w:lang w:val="hr-HR"/>
        </w:rPr>
      </w:pPr>
      <w:r w:rsidRPr="00393E3E">
        <w:rPr>
          <w:b/>
          <w:bCs/>
          <w:lang w:val="hr-HR"/>
        </w:rPr>
        <w:t>POSEBNI DIO</w:t>
      </w:r>
    </w:p>
    <w:p w14:paraId="324BE53E" w14:textId="1BFBB22C" w:rsidR="00C53339" w:rsidRDefault="00591FE7" w:rsidP="0015150E">
      <w:pPr>
        <w:jc w:val="both"/>
        <w:rPr>
          <w:lang w:val="hr-HR"/>
        </w:rPr>
      </w:pPr>
      <w:r>
        <w:rPr>
          <w:lang w:val="hr-HR"/>
        </w:rPr>
        <w:t>U Posebnom dijelu izvršenja proračuna prikazani su rashodi po</w:t>
      </w:r>
      <w:r w:rsidR="00C53339">
        <w:rPr>
          <w:lang w:val="hr-HR"/>
        </w:rPr>
        <w:t xml:space="preserve">slovanja i rashodi za nabavu nefinancijske imovine te izdaci za financijsku imovinu i otplatu zajmova po organizacijskoj, programskoj i ekonomskoj klasifikaciji te izvorima financiranja.  </w:t>
      </w:r>
    </w:p>
    <w:p w14:paraId="13802897" w14:textId="22769D1A" w:rsidR="00393E3E" w:rsidRDefault="00C53339" w:rsidP="0015150E">
      <w:pPr>
        <w:jc w:val="both"/>
        <w:rPr>
          <w:lang w:val="hr-HR"/>
        </w:rPr>
      </w:pPr>
      <w:r>
        <w:rPr>
          <w:lang w:val="hr-HR"/>
        </w:rPr>
        <w:t xml:space="preserve">Posebni dio </w:t>
      </w:r>
      <w:r w:rsidR="00393E3E">
        <w:rPr>
          <w:lang w:val="hr-HR"/>
        </w:rPr>
        <w:t>godišnjeg izvještaja o izvršenju proračuna sadrži:</w:t>
      </w:r>
    </w:p>
    <w:p w14:paraId="0D2A1BBE" w14:textId="5E1B0C00" w:rsidR="00393E3E" w:rsidRDefault="00393E3E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po organizacijskoj klasifikaciji</w:t>
      </w:r>
    </w:p>
    <w:p w14:paraId="2922E861" w14:textId="699F1EB6" w:rsidR="00393E3E" w:rsidRDefault="00393E3E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po programskoj klasifikaciji</w:t>
      </w:r>
    </w:p>
    <w:p w14:paraId="3517AD86" w14:textId="77777777" w:rsidR="00393E3E" w:rsidRDefault="00393E3E" w:rsidP="00393E3E">
      <w:pPr>
        <w:rPr>
          <w:lang w:val="hr-HR"/>
        </w:rPr>
      </w:pPr>
    </w:p>
    <w:p w14:paraId="1C93B008" w14:textId="47D67F4A" w:rsidR="00DC2068" w:rsidRDefault="00393E3E" w:rsidP="00DC2068">
      <w:pPr>
        <w:rPr>
          <w:b/>
          <w:bCs/>
          <w:lang w:val="hr-HR"/>
        </w:rPr>
      </w:pPr>
      <w:r w:rsidRPr="00C53339">
        <w:rPr>
          <w:b/>
          <w:bCs/>
          <w:lang w:val="hr-HR"/>
        </w:rPr>
        <w:t>IZVRŠENJE PO OGRANIZACIJSKOJ KLASIFIKACIJI</w:t>
      </w:r>
    </w:p>
    <w:p w14:paraId="4A758122" w14:textId="3AA0AA36" w:rsidR="00C53339" w:rsidRPr="00C53339" w:rsidRDefault="00F46F47" w:rsidP="00DC2068">
      <w:pPr>
        <w:rPr>
          <w:b/>
          <w:bCs/>
          <w:lang w:val="hr-HR"/>
        </w:rPr>
      </w:pPr>
      <w:r>
        <w:rPr>
          <w:b/>
          <w:bCs/>
          <w:noProof/>
          <w:lang w:val="hr-HR"/>
        </w:rPr>
        <w:drawing>
          <wp:inline distT="0" distB="0" distL="0" distR="0" wp14:anchorId="40AEBD32" wp14:editId="37F64230">
            <wp:extent cx="8892540" cy="2347595"/>
            <wp:effectExtent l="0" t="0" r="3810" b="0"/>
            <wp:docPr id="64583797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37973" name="Slika 64583797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3FEEE" w14:textId="77777777" w:rsidR="00393E3E" w:rsidRDefault="00393E3E" w:rsidP="00DC2068">
      <w:pPr>
        <w:rPr>
          <w:lang w:val="hr-HR"/>
        </w:rPr>
      </w:pPr>
    </w:p>
    <w:p w14:paraId="3E6AD537" w14:textId="45912F7B" w:rsidR="00393E3E" w:rsidRDefault="00393E3E" w:rsidP="0015150E">
      <w:pPr>
        <w:jc w:val="both"/>
        <w:rPr>
          <w:lang w:val="hr-HR"/>
        </w:rPr>
      </w:pPr>
      <w:r>
        <w:rPr>
          <w:lang w:val="hr-HR"/>
        </w:rPr>
        <w:t xml:space="preserve">Proračun Općine Dubrava sastoji se od 2 razdjela Predstavnička i izvršna tijela te Jedinstveni upravni odjel. Predstavnička i izvršna tijela odnose se na rashode vezane uz rad Općinskog načelnika i Općinskog vijeća i ostvareni su u iznosu od </w:t>
      </w:r>
      <w:r w:rsidR="00F46F47">
        <w:rPr>
          <w:lang w:val="hr-HR"/>
        </w:rPr>
        <w:t>323.729,92</w:t>
      </w:r>
      <w:r>
        <w:rPr>
          <w:lang w:val="hr-HR"/>
        </w:rPr>
        <w:t xml:space="preserve"> eura. Unutar razdjela Jedinstveni upravni odjel </w:t>
      </w:r>
      <w:r w:rsidR="00591FE7">
        <w:rPr>
          <w:lang w:val="hr-HR"/>
        </w:rPr>
        <w:t xml:space="preserve">najveći udio se odnosi na glavu </w:t>
      </w:r>
      <w:r w:rsidR="00E129AA">
        <w:rPr>
          <w:lang w:val="hr-HR"/>
        </w:rPr>
        <w:t>Upravljanje imovinom</w:t>
      </w:r>
      <w:r w:rsidR="00591FE7">
        <w:rPr>
          <w:lang w:val="hr-HR"/>
        </w:rPr>
        <w:t xml:space="preserve"> </w:t>
      </w:r>
      <w:r w:rsidR="00F46F47">
        <w:rPr>
          <w:lang w:val="hr-HR"/>
        </w:rPr>
        <w:t>2.458.854,94</w:t>
      </w:r>
      <w:r w:rsidR="00591FE7">
        <w:rPr>
          <w:lang w:val="hr-HR"/>
        </w:rPr>
        <w:t xml:space="preserve"> eura, zatim slijede</w:t>
      </w:r>
      <w:r w:rsidR="00F46F47">
        <w:rPr>
          <w:lang w:val="hr-HR"/>
        </w:rPr>
        <w:t xml:space="preserve"> Sport i rekreacija 821.599,22 eura,</w:t>
      </w:r>
      <w:r w:rsidR="00591FE7">
        <w:rPr>
          <w:lang w:val="hr-HR"/>
        </w:rPr>
        <w:t xml:space="preserve"> </w:t>
      </w:r>
      <w:r w:rsidR="00E129AA">
        <w:rPr>
          <w:lang w:val="hr-HR"/>
        </w:rPr>
        <w:t>Komunalna infrastruktura</w:t>
      </w:r>
      <w:r w:rsidR="00591FE7">
        <w:rPr>
          <w:lang w:val="hr-HR"/>
        </w:rPr>
        <w:t xml:space="preserve"> </w:t>
      </w:r>
      <w:r w:rsidR="00F46F47">
        <w:rPr>
          <w:lang w:val="hr-HR"/>
        </w:rPr>
        <w:t>815.093,55</w:t>
      </w:r>
      <w:r w:rsidR="00591FE7">
        <w:rPr>
          <w:lang w:val="hr-HR"/>
        </w:rPr>
        <w:t xml:space="preserve"> eura i </w:t>
      </w:r>
      <w:r w:rsidR="00F46F47">
        <w:rPr>
          <w:lang w:val="hr-HR"/>
        </w:rPr>
        <w:t>Dječji vrtić Dubrava</w:t>
      </w:r>
      <w:r w:rsidR="00E129AA">
        <w:rPr>
          <w:lang w:val="hr-HR"/>
        </w:rPr>
        <w:t xml:space="preserve"> </w:t>
      </w:r>
      <w:r w:rsidR="00F46F47">
        <w:rPr>
          <w:lang w:val="hr-HR"/>
        </w:rPr>
        <w:t>555.158,25</w:t>
      </w:r>
      <w:r w:rsidR="00E129AA">
        <w:rPr>
          <w:lang w:val="hr-HR"/>
        </w:rPr>
        <w:t xml:space="preserve"> eura</w:t>
      </w:r>
      <w:r w:rsidR="00F46F47">
        <w:rPr>
          <w:lang w:val="hr-HR"/>
        </w:rPr>
        <w:t>.</w:t>
      </w:r>
      <w:r w:rsidR="00E129AA">
        <w:rPr>
          <w:lang w:val="hr-HR"/>
        </w:rPr>
        <w:t xml:space="preserve"> </w:t>
      </w:r>
    </w:p>
    <w:p w14:paraId="7F613808" w14:textId="77777777" w:rsidR="00C53339" w:rsidRDefault="00C53339" w:rsidP="00DC2068">
      <w:pPr>
        <w:rPr>
          <w:lang w:val="hr-HR"/>
        </w:rPr>
      </w:pPr>
    </w:p>
    <w:p w14:paraId="20DDE46D" w14:textId="77777777" w:rsidR="005067A8" w:rsidRDefault="005067A8" w:rsidP="005067A8">
      <w:pPr>
        <w:rPr>
          <w:b/>
          <w:bCs/>
          <w:lang w:val="hr-HR"/>
        </w:rPr>
      </w:pPr>
      <w:r w:rsidRPr="00C53339">
        <w:rPr>
          <w:b/>
          <w:bCs/>
          <w:lang w:val="hr-HR"/>
        </w:rPr>
        <w:t>IZVRŠENJE PO PROGRAMSKOJ KLASIFIKACIJI</w:t>
      </w:r>
    </w:p>
    <w:p w14:paraId="55537ACA" w14:textId="714BF643" w:rsidR="007D42F2" w:rsidRDefault="00692FB2" w:rsidP="00DC2068">
      <w:r>
        <w:rPr>
          <w:lang w:val="hr-HR"/>
        </w:rPr>
        <w:fldChar w:fldCharType="begin"/>
      </w:r>
      <w:r>
        <w:rPr>
          <w:lang w:val="hr-HR"/>
        </w:rPr>
        <w:instrText xml:space="preserve"> LINK </w:instrText>
      </w:r>
      <w:r w:rsidR="00994DD3">
        <w:rPr>
          <w:lang w:val="hr-HR"/>
        </w:rPr>
        <w:instrText xml:space="preserve">Excel.Sheet.8 "D:\\Dokumenti\\FIN.PLAN, REBALANS\\Godišnje izvršenje proračuna\\Izvršenje 2025\\Ispis izvršenja proračuna 2025.xls" "Izvršenje po programskoj klasif!R9C1:R900C18" </w:instrText>
      </w:r>
      <w:r>
        <w:rPr>
          <w:lang w:val="hr-HR"/>
        </w:rPr>
        <w:instrText xml:space="preserve">\a \f 4 \h </w:instrText>
      </w:r>
      <w:r>
        <w:rPr>
          <w:lang w:val="hr-HR"/>
        </w:rPr>
        <w:fldChar w:fldCharType="separate"/>
      </w:r>
    </w:p>
    <w:tbl>
      <w:tblPr>
        <w:tblW w:w="14615" w:type="dxa"/>
        <w:tblInd w:w="-284" w:type="dxa"/>
        <w:tblLook w:val="04A0" w:firstRow="1" w:lastRow="0" w:firstColumn="1" w:lastColumn="0" w:noHBand="0" w:noVBand="1"/>
      </w:tblPr>
      <w:tblGrid>
        <w:gridCol w:w="851"/>
        <w:gridCol w:w="1861"/>
        <w:gridCol w:w="5936"/>
        <w:gridCol w:w="1701"/>
        <w:gridCol w:w="1701"/>
        <w:gridCol w:w="1559"/>
        <w:gridCol w:w="1006"/>
      </w:tblGrid>
      <w:tr w:rsidR="009812D9" w:rsidRPr="007D42F2" w14:paraId="1CA40DD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00627B" w14:textId="512D639E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1CED1E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Organizacijska klasifikacija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56DD0F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6B825C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74CB35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A4642D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7C3A7F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B3650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3827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Izvori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A4F0395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492E91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68C366E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111E48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35171E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80F99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867D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Projekt/Aktivnost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7EE093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VRSTA RASHODA I IZDATAKA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7A64AE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Izvorni plan 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755C06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Tekući plan 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5832D5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Izvršenje 2025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A321B8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Indeks 3/2</w:t>
            </w:r>
          </w:p>
        </w:tc>
      </w:tr>
      <w:tr w:rsidR="009812D9" w:rsidRPr="007D42F2" w14:paraId="137A1B54" w14:textId="77777777" w:rsidTr="009812D9">
        <w:trPr>
          <w:trHeight w:val="255"/>
        </w:trPr>
        <w:tc>
          <w:tcPr>
            <w:tcW w:w="8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8C6205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2993A3F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5C7A53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CD8A29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3A0FBA" w14:textId="77777777" w:rsidR="007D42F2" w:rsidRPr="007D42F2" w:rsidRDefault="007D42F2" w:rsidP="007D4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</w:t>
            </w:r>
          </w:p>
        </w:tc>
      </w:tr>
      <w:tr w:rsidR="009812D9" w:rsidRPr="007D42F2" w14:paraId="523436A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7727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2BA1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  <w:t>UKUPNO RASHODI I IZDATCI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D5B3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  <w:t>10.139.504,96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50FF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  <w:t>7.891.213,08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5E97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  <w:t>6.116.941,22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E88B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hr-HR" w:eastAsia="hr-HR"/>
                <w14:ligatures w14:val="none"/>
              </w:rPr>
              <w:t>77,52%</w:t>
            </w:r>
          </w:p>
        </w:tc>
      </w:tr>
      <w:tr w:rsidR="009812D9" w:rsidRPr="007D42F2" w14:paraId="52A3775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080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E89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RAZDJEL 001 PREDSTAVNIČKA I IZVRŠNA TIJELA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6A1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1.196.291,87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234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1.293.530,42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EEF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323.729,92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778E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25,03%</w:t>
            </w:r>
          </w:p>
        </w:tc>
      </w:tr>
      <w:tr w:rsidR="009812D9" w:rsidRPr="007D42F2" w14:paraId="0BF834D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25CA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FFD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00105 NAČELNIK OPĆINE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0E96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141.949,53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B0F1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157.995,93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750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142.640,82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4BEE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90,28%</w:t>
            </w:r>
          </w:p>
        </w:tc>
      </w:tr>
      <w:tr w:rsidR="009812D9" w:rsidRPr="007D42F2" w14:paraId="21A3764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057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F6D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9B3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141.949,53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0A1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157.995,93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980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142.640,82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12C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90,28%</w:t>
            </w:r>
          </w:p>
        </w:tc>
      </w:tr>
      <w:tr w:rsidR="009812D9" w:rsidRPr="007D42F2" w14:paraId="0E0863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DDB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D29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0A7C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141.949,53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141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157.995,93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B6B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142.640,82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674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90,28%</w:t>
            </w:r>
          </w:p>
        </w:tc>
      </w:tr>
      <w:tr w:rsidR="009812D9" w:rsidRPr="007D42F2" w14:paraId="4740EDF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E3C8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A1C0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57D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4F39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141.949,53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6958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157.995,93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6B3C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142.640,82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FD15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90,28%</w:t>
            </w:r>
          </w:p>
        </w:tc>
      </w:tr>
      <w:tr w:rsidR="009812D9" w:rsidRPr="007D42F2" w14:paraId="615AFC0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6D8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8CA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DA1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Redovan rad načelnika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B5F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69.080,00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EFC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74.818,70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DE9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75.579,99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3E1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101,02%</w:t>
            </w:r>
          </w:p>
        </w:tc>
      </w:tr>
      <w:tr w:rsidR="009812D9" w:rsidRPr="007D42F2" w14:paraId="1238097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337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A50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56B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69.080,00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128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74.818,70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361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75.579,99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48B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101,02%</w:t>
            </w:r>
          </w:p>
        </w:tc>
      </w:tr>
      <w:tr w:rsidR="009812D9" w:rsidRPr="007D42F2" w14:paraId="4DFE117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FBF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422D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A83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69.080,00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971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74.818,70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011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75.579,99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4EC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101,02%</w:t>
            </w:r>
          </w:p>
        </w:tc>
      </w:tr>
      <w:tr w:rsidR="009812D9" w:rsidRPr="007D42F2" w14:paraId="245413F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11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D3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F6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48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57.120,00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E4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62.358,70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84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64.169,58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14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102,90%</w:t>
            </w:r>
          </w:p>
        </w:tc>
      </w:tr>
      <w:tr w:rsidR="009812D9" w:rsidRPr="007D42F2" w14:paraId="7838BF1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47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C4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E29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247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6A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7A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54.069,57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68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A34B47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DF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961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6D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78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B4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48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1.200,00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F9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8E57E8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E1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07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23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F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CE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0F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8.900,01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5C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62297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82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E0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638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88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11.960,00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92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12.460,00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9B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11.410,41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0C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91,58%</w:t>
            </w:r>
          </w:p>
        </w:tc>
      </w:tr>
      <w:tr w:rsidR="009812D9" w:rsidRPr="007D42F2" w14:paraId="3DB98B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A9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6E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1C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95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B6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52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2.860,25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28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1EA8AB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7F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4B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6B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F71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8D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13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360,00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EF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B7D9B1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0A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6B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70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CF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CB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BE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1.473,00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EC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3E505F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86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68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8B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607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9A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43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5.265,60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75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2615C6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11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9D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78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B0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BB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11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1.451,56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AB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C8AB77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229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CA8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79F9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Proračunska pričuva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225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251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363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BFE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60B6F1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D1D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27C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80F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DBE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7FA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397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EE5E27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1DF0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4B4B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5AB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F2C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0BF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329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61D6A2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02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A0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EC2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BE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EF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70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E4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12D648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D76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A0A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2B58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Sredstva javnog priopćavanja - mediji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9ED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65.062,50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5C14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75.850,00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54D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64.356,83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BB5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84,85%</w:t>
            </w:r>
          </w:p>
        </w:tc>
      </w:tr>
      <w:tr w:rsidR="009812D9" w:rsidRPr="007D42F2" w14:paraId="7BCE105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565D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156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DD0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65.062,50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CCB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75.850,00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68A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64.356,83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F86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84,85%</w:t>
            </w:r>
          </w:p>
        </w:tc>
      </w:tr>
      <w:tr w:rsidR="009812D9" w:rsidRPr="007D42F2" w14:paraId="6D4ADAC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662C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83F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A63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65.062,50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451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75.850,00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B98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64.356,83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335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84,85%</w:t>
            </w:r>
          </w:p>
        </w:tc>
      </w:tr>
      <w:tr w:rsidR="009812D9" w:rsidRPr="007D42F2" w14:paraId="5053D5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53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650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A1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04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65.062,50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09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75.850,00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27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64.356,83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E9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84,85%</w:t>
            </w:r>
          </w:p>
        </w:tc>
      </w:tr>
      <w:tr w:rsidR="009812D9" w:rsidRPr="007D42F2" w14:paraId="5D89525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76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02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33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38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B2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7F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64.356,83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5B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287695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9BD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949B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E49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Pokroviteljstva i sponzorstva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200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5.479,80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FD1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84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2.704,00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DB1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54,08%</w:t>
            </w:r>
          </w:p>
        </w:tc>
      </w:tr>
      <w:tr w:rsidR="009812D9" w:rsidRPr="007D42F2" w14:paraId="3F07D20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1CA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11F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77A6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5.479,80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F47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1D4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2.704,00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A63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54,08%</w:t>
            </w:r>
          </w:p>
        </w:tc>
      </w:tr>
      <w:tr w:rsidR="009812D9" w:rsidRPr="007D42F2" w14:paraId="33D84E1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06C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003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CA5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5.479,80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ACB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D1E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2.704,00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A8A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54,08%</w:t>
            </w:r>
          </w:p>
        </w:tc>
      </w:tr>
      <w:tr w:rsidR="009812D9" w:rsidRPr="007D42F2" w14:paraId="5AC8A97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AE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4E6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ABB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A3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479,80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FB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E9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68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E70198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36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0C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DE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CD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ED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FA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2.704,00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5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54,08%</w:t>
            </w:r>
          </w:p>
        </w:tc>
      </w:tr>
      <w:tr w:rsidR="009812D9" w:rsidRPr="007D42F2" w14:paraId="6BB8D14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7E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3C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6A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77E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FF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70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2.704,00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01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EF568E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064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ABF0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F90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Elementarne nepogode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CAB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3E2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22B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5B5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4FDF2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665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EA6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CA4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074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540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024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F1FFB5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464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28B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CDF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B84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D3F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BB8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D2F59A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C2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40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11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84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EF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74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E0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1677DE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8EA6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244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00110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6D5E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49.350,80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4DD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80.967,57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4BC1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80.653,58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19E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99,61%</w:t>
            </w:r>
          </w:p>
        </w:tc>
      </w:tr>
      <w:tr w:rsidR="009812D9" w:rsidRPr="007D42F2" w14:paraId="6552E5B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623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EB02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847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19.050,80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D35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37.304,18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17D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36.990,19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7EF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99,16%</w:t>
            </w:r>
          </w:p>
        </w:tc>
      </w:tr>
      <w:tr w:rsidR="009812D9" w:rsidRPr="007D42F2" w14:paraId="4A4AB5C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463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3FF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DB9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19.050,80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F7E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37.304,18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4C2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36.990,19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8E7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99,16%</w:t>
            </w:r>
          </w:p>
        </w:tc>
      </w:tr>
      <w:tr w:rsidR="009812D9" w:rsidRPr="007D42F2" w14:paraId="3803D1A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D08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B962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C49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342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71D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74F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65A65D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FF2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04C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35E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327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401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376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DB8666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01A5C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4261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B25F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033B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49.350,80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0C91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80.967,57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425C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80.653,58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DC1F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99,61%</w:t>
            </w:r>
          </w:p>
        </w:tc>
      </w:tr>
      <w:tr w:rsidR="009812D9" w:rsidRPr="007D42F2" w14:paraId="3201F0F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C36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8C2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677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izbora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072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B2B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68.016,77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E83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68.016,77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899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1DF150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712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6A9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772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DD1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24.353,38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ACD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24.353,38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73F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AAA030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61BC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4C5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C37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68D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24.353,38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92D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24.353,38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FF5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C7881F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88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73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0E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E3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3E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21.006,02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5C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21.006,02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F6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4BFCAF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DD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02B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F27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79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36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9C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464,40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6C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11A745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52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2F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DA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07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A1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797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20.541,62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44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E2DF9F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EA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69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6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44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18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3.347,36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48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3.347,36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C6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AEBE5B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5C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0A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AA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74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66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F2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3.347,36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0D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E63E44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7A8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A5C0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A12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75F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98F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DFF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97F914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70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569E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C19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792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9C0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8A7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65E7B4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45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92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19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4E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24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00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43.663,39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59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3B700A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4D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DC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E2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C22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10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30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45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B038E1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12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772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0A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E49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AC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8C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42.863,39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3B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C3E021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ECA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093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CB31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Političke stranke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075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FE1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873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2.845,68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98D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82,46%</w:t>
            </w:r>
          </w:p>
        </w:tc>
      </w:tr>
      <w:tr w:rsidR="009812D9" w:rsidRPr="007D42F2" w14:paraId="246F758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3F69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6DF0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725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CDE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1A3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2.845,68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8AC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82,46%</w:t>
            </w:r>
          </w:p>
        </w:tc>
      </w:tr>
      <w:tr w:rsidR="009812D9" w:rsidRPr="007D42F2" w14:paraId="6273410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CCE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D2E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346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173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9A9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2.845,68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3D5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82,46%</w:t>
            </w:r>
          </w:p>
        </w:tc>
      </w:tr>
      <w:tr w:rsidR="009812D9" w:rsidRPr="007D42F2" w14:paraId="0762573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EE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B9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56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19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18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3.450,80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0A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2.845,68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40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82,46%</w:t>
            </w:r>
          </w:p>
        </w:tc>
      </w:tr>
      <w:tr w:rsidR="009812D9" w:rsidRPr="007D42F2" w14:paraId="7C8D537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B9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82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D3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771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D5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33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2.845,68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DC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E27AF4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7F11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9F3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03D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Redovan rad predstavničkog tijela - Općinskog vijeća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593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B05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2CB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9.791,13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4A4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13F8ABF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BA4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023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8CB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023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C90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9.791,13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9C5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27198FE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8E3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B63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82B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9A2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ACB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9.791,13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2F8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37AAA06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99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35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4B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0F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A3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15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9.791,13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B5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0B589E9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D4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41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D5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2C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AC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DE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8.531,95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CC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F3AC70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D0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94F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2A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9D3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EE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81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1.259,18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91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E8B6FF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291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268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EF4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Djelovanje savjetodavnog tijela mladih - Savjet mladih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C66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394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EB2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DC0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08204C9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22B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504E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99C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6AC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930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35E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B748FB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6B1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16A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C07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40C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315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6E7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19BC05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C5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DE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6B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FC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73C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5B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FA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797737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284D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438E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00115 SANACIJA ODLAGALIŠTA BELJAVINE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B4D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8F7A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69A9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5.020,94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877B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73,84%</w:t>
            </w:r>
          </w:p>
        </w:tc>
      </w:tr>
      <w:tr w:rsidR="009812D9" w:rsidRPr="007D42F2" w14:paraId="740BD4D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59F2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69B5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237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849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AD7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5.020,94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91E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73,84%</w:t>
            </w:r>
          </w:p>
        </w:tc>
      </w:tr>
      <w:tr w:rsidR="009812D9" w:rsidRPr="007D42F2" w14:paraId="7790012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16C1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D61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300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46C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F61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5.020,94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863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73,84%</w:t>
            </w:r>
          </w:p>
        </w:tc>
      </w:tr>
      <w:tr w:rsidR="009812D9" w:rsidRPr="007D42F2" w14:paraId="072851E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8909C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485A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C5BA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A292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D4C9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4ADD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5.020,94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3097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73,84%</w:t>
            </w:r>
          </w:p>
        </w:tc>
      </w:tr>
      <w:tr w:rsidR="009812D9" w:rsidRPr="007D42F2" w14:paraId="10327F5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A5C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163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BE6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Sanacija odlagališta "Beljavine"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E71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64CC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C05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5.020,94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E45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73,84%</w:t>
            </w:r>
          </w:p>
        </w:tc>
      </w:tr>
      <w:tr w:rsidR="009812D9" w:rsidRPr="007D42F2" w14:paraId="26F483A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B1E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0C4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20E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789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D1E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5.020,94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4A2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73,84%</w:t>
            </w:r>
          </w:p>
        </w:tc>
      </w:tr>
      <w:tr w:rsidR="009812D9" w:rsidRPr="007D42F2" w14:paraId="69E3398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A963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0F84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1CA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08D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516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5.020,94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B1A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73,84%</w:t>
            </w:r>
          </w:p>
        </w:tc>
      </w:tr>
      <w:tr w:rsidR="009812D9" w:rsidRPr="007D42F2" w14:paraId="43DB833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B9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71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7F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80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21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F0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612,64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E7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76,58%</w:t>
            </w:r>
          </w:p>
        </w:tc>
      </w:tr>
      <w:tr w:rsidR="009812D9" w:rsidRPr="007D42F2" w14:paraId="10D9847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C1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3FC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3423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D88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B83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01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19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612,64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A1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2275F1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6A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43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E7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E5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B9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63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4.408,30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4F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73,47%</w:t>
            </w:r>
          </w:p>
        </w:tc>
      </w:tr>
      <w:tr w:rsidR="009812D9" w:rsidRPr="007D42F2" w14:paraId="2158E07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B5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E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5443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EC4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02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CC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35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4.408,30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47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D91C4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8C1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03540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00120 OTPLATA DUGOROČNOG KREDITA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A43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997.491,54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B260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1.047.766,92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341E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95.414,58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82D0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9,11%</w:t>
            </w:r>
          </w:p>
        </w:tc>
      </w:tr>
      <w:tr w:rsidR="009812D9" w:rsidRPr="007D42F2" w14:paraId="284F63B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1F1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16B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26D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997.491,54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F46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1.047.766,92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5F5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95.414,58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97A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9,11%</w:t>
            </w:r>
          </w:p>
        </w:tc>
      </w:tr>
      <w:tr w:rsidR="009812D9" w:rsidRPr="007D42F2" w14:paraId="00C345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207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468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2BD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997.491,54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CE0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1.047.766,92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C19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95.414,58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D82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9,11%</w:t>
            </w:r>
          </w:p>
        </w:tc>
      </w:tr>
      <w:tr w:rsidR="009812D9" w:rsidRPr="007D42F2" w14:paraId="40546EF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3CE8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A1FCC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6A30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E608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997.491,54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D609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1.047.766,92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399C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95.414,58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2B18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9,11%</w:t>
            </w:r>
          </w:p>
        </w:tc>
      </w:tr>
      <w:tr w:rsidR="009812D9" w:rsidRPr="007D42F2" w14:paraId="43155A2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155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5B3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3E4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Otplata dugoročnog kredita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6EE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997.491,54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B85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1.047.766,92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8E9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95.414,58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57B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9,11%</w:t>
            </w:r>
          </w:p>
        </w:tc>
      </w:tr>
      <w:tr w:rsidR="009812D9" w:rsidRPr="007D42F2" w14:paraId="4C79DFF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09C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F91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3F2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997.491,54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117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1.047.766,92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80A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95.414,58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180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9,11%</w:t>
            </w:r>
          </w:p>
        </w:tc>
      </w:tr>
      <w:tr w:rsidR="009812D9" w:rsidRPr="007D42F2" w14:paraId="3577F6D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242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CCA7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FCD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997.491,54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526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1.047.766,92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450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95.414,58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E69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9,11%</w:t>
            </w:r>
          </w:p>
        </w:tc>
      </w:tr>
      <w:tr w:rsidR="009812D9" w:rsidRPr="007D42F2" w14:paraId="543DFAC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B7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C76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7F6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37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432.384,36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4C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51.005,72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13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46.020,27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5A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90,23%</w:t>
            </w:r>
          </w:p>
        </w:tc>
      </w:tr>
      <w:tr w:rsidR="009812D9" w:rsidRPr="007D42F2" w14:paraId="72DF0D8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A7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CD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3423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E2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98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12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93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46.020,27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9F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A3E9B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EE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112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14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8C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565.107,18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D4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996.761,20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74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49.394,31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5D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4,96%</w:t>
            </w:r>
          </w:p>
        </w:tc>
      </w:tr>
      <w:tr w:rsidR="009812D9" w:rsidRPr="007D42F2" w14:paraId="10E160D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BA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D2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5443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06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51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F3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4C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49.394,31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0C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C43E81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CA3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3A49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RAZDJEL 002 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1795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8.943.213,09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6E2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6.597.682,66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26C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5.793.211,30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B98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87,81%</w:t>
            </w:r>
          </w:p>
        </w:tc>
      </w:tr>
      <w:tr w:rsidR="009812D9" w:rsidRPr="007D42F2" w14:paraId="4086069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2B87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F2AA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00205 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73AC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351.491,31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E4D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289.313,97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B7B6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286.383,08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FEB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98,99%</w:t>
            </w:r>
          </w:p>
        </w:tc>
      </w:tr>
      <w:tr w:rsidR="009812D9" w:rsidRPr="007D42F2" w14:paraId="2E68600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694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4C2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BFF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351.491,31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19C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289.313,97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09B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286.383,08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999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98,99%</w:t>
            </w:r>
          </w:p>
        </w:tc>
      </w:tr>
      <w:tr w:rsidR="009812D9" w:rsidRPr="007D42F2" w14:paraId="61C0111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7D3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713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D2D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351.491,31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7D8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289.313,97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2E7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286.383,08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5BF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98,99%</w:t>
            </w:r>
          </w:p>
        </w:tc>
      </w:tr>
      <w:tr w:rsidR="009812D9" w:rsidRPr="007D42F2" w14:paraId="52CFD3D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5C18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206BE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D934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BBE3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351.491,31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176D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289.313,97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DB35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286.383,08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93B6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98,99%</w:t>
            </w:r>
          </w:p>
        </w:tc>
      </w:tr>
      <w:tr w:rsidR="009812D9" w:rsidRPr="007D42F2" w14:paraId="26A8DD7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F6A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53BD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642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Redovan rad Jedinstvenog upravnog odjela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E87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184.391,31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776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114.955,01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CBB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112.496,87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025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97,86%</w:t>
            </w:r>
          </w:p>
        </w:tc>
      </w:tr>
      <w:tr w:rsidR="009812D9" w:rsidRPr="007D42F2" w14:paraId="2177E4C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54E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886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4C6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184.391,31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44E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114.955,01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179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112.496,87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B5F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97,86%</w:t>
            </w:r>
          </w:p>
        </w:tc>
      </w:tr>
      <w:tr w:rsidR="009812D9" w:rsidRPr="007D42F2" w14:paraId="24D50E8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FC7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FE8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83B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184.391,31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3B8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114.955,01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FFC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112.496,87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70D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97,86%</w:t>
            </w:r>
          </w:p>
        </w:tc>
      </w:tr>
      <w:tr w:rsidR="009812D9" w:rsidRPr="007D42F2" w14:paraId="1EAF07D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DB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09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404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00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171.591,31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AE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110.900,01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6B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108.453,86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24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97,79%</w:t>
            </w:r>
          </w:p>
        </w:tc>
      </w:tr>
      <w:tr w:rsidR="009812D9" w:rsidRPr="007D42F2" w14:paraId="3B81729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FB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97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1F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C8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0A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10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79.363,49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2F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6B806A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B7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20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B0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48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53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EA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16.600,00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22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C62D95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C9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20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5A3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CE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01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3C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12.490,37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93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730FA5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DEC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56E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AB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7C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DD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32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4.043,01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87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99,70%</w:t>
            </w:r>
          </w:p>
        </w:tc>
      </w:tr>
      <w:tr w:rsidR="009812D9" w:rsidRPr="007D42F2" w14:paraId="06BC0B7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63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FB8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77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EE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74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21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264,60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3F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9B6C3D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61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247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2B3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E7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D3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FE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1.713,90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81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F03BD7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C6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9E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4D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D0E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BD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75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742,60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B1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2EACEF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49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9B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40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1B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BF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AD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1.321,91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F7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7D42C8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2D48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080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A546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Materijalni rashodi i rashodi za usluge JUO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4A6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156.500,00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AD1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170.052,40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A6A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170.454,86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175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100,24%</w:t>
            </w:r>
          </w:p>
        </w:tc>
      </w:tr>
      <w:tr w:rsidR="009812D9" w:rsidRPr="007D42F2" w14:paraId="5C4CED7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DDA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C242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382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156.500,00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F41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170.052,40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F65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170.454,86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512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100,24%</w:t>
            </w:r>
          </w:p>
        </w:tc>
      </w:tr>
      <w:tr w:rsidR="009812D9" w:rsidRPr="007D42F2" w14:paraId="7DC4DD5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FFF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FF31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EC0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156.500,00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C4E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170.052,40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ABE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170.454,86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AAB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100,24%</w:t>
            </w:r>
          </w:p>
        </w:tc>
      </w:tr>
      <w:tr w:rsidR="009812D9" w:rsidRPr="007D42F2" w14:paraId="56FB1DE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BA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8D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DA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EE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152.200,00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AF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162.452,40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D0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163.793,21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EA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100,83%</w:t>
            </w:r>
          </w:p>
        </w:tc>
      </w:tr>
      <w:tr w:rsidR="009812D9" w:rsidRPr="007D42F2" w14:paraId="300DF4A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4D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AA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36D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A96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DA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59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8.193,79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AE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8D6366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9B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991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F7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E0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E8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98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3.377,79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C8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CBDB79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43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3A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FF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BF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F9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9C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165,71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2F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3CF060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B2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194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A5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E7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64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01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3.263,54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EC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70513B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DB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E7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5E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B7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AF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B0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16.284,66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B0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E58AA9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DB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08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22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A5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C3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FE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156,53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FB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2731C2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CB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CD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07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68E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22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39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12.549,10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2C6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DB233E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AD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91B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26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8A0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0F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56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2.132,10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63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DE4778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D4E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78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F8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28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BD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39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12.377,41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C2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C9B830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32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7C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A3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E2D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55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E6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29.333,48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E4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EE5694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CB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5D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B8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3C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86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81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30.753,47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F7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7C6D05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B3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1AB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C9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F3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BD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E4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25.841,35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B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938B15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00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73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52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D70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F0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34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7.378,87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02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4AFC9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D3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36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53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A3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94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04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5.756,88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24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A974A3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B9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09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56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B0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FD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BF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2.005,24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37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DB78F2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A5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F0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65C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B8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4F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6E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2.674,54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9F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FB68CF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36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6D8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B3C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9E8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9A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F1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1.548,75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A8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869AB7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AF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5F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59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34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1F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D3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6.661,65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6B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91,26%</w:t>
            </w:r>
          </w:p>
        </w:tc>
      </w:tr>
      <w:tr w:rsidR="009812D9" w:rsidRPr="007D42F2" w14:paraId="657B413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E3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EEB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3431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C9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17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12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10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992,83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93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A4F659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36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8E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3434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269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nespomenuti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D2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D8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B7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5.668,82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DB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734618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9A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1D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47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72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62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33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25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703C38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E4E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102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740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voznog parka Općine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0AB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F8B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4.306,56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572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3.431,35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B60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79,68%</w:t>
            </w:r>
          </w:p>
        </w:tc>
      </w:tr>
      <w:tr w:rsidR="009812D9" w:rsidRPr="007D42F2" w14:paraId="249D258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00C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8AFC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C36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FBB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4.306,56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44E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3.431,35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C40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79,68%</w:t>
            </w:r>
          </w:p>
        </w:tc>
      </w:tr>
      <w:tr w:rsidR="009812D9" w:rsidRPr="007D42F2" w14:paraId="4E6F570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45CD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B816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0DE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D85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4.306,56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DAF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3.431,35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2DE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79,68%</w:t>
            </w:r>
          </w:p>
        </w:tc>
      </w:tr>
      <w:tr w:rsidR="009812D9" w:rsidRPr="007D42F2" w14:paraId="3800619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4B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60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B7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86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AD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4.306,56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9F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3.431,35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AC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79,68%</w:t>
            </w:r>
          </w:p>
        </w:tc>
      </w:tr>
      <w:tr w:rsidR="009812D9" w:rsidRPr="007D42F2" w14:paraId="37E5E46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C8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61D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4E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3C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82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AD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1.283,63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81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DF8E47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FD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DAC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BDC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ED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DA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C7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502,16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8F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A9885A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2CE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6FE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11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91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F3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60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839,00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93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40EF5D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5A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A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BA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E9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4E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A3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128,51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A7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B60E79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24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BA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BAB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25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AE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BC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678,05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45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CAC034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1D9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EA6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4F2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Opremanje ureda i nabava ostale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AE2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DD0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435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9A0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8F4C1D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6AE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08F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D8E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AC8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8D2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85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1952880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CF5C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D8E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778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F2B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919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CB9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0EE8D0D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50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92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821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FA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55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60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D5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77839A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A0453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AF2B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00210 KOMUNALNA INFRASTRUKTURA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8D49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2.326.204,13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3F9A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872.972,28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F60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815.093,55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F40B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93,37%</w:t>
            </w:r>
          </w:p>
        </w:tc>
      </w:tr>
      <w:tr w:rsidR="009812D9" w:rsidRPr="007D42F2" w14:paraId="4B36AC8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8E5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784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203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555.675,00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AD3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289.125,55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7F2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454.286,10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0624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157,12%</w:t>
            </w:r>
          </w:p>
        </w:tc>
      </w:tr>
      <w:tr w:rsidR="009812D9" w:rsidRPr="007D42F2" w14:paraId="4DB250E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6CC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99F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190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555.675,00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E95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289.125,55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054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454.286,10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D71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157,12%</w:t>
            </w:r>
          </w:p>
        </w:tc>
      </w:tr>
      <w:tr w:rsidR="009812D9" w:rsidRPr="007D42F2" w14:paraId="561A207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590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AD9A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D32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235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1A3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1E9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E572E5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B7C3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963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3.2.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CF3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D3C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1BA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AED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6B7215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A81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DF4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F9A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85A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163.176,78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32C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162.830,65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A7D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99,79%</w:t>
            </w:r>
          </w:p>
        </w:tc>
      </w:tr>
      <w:tr w:rsidR="009812D9" w:rsidRPr="007D42F2" w14:paraId="15E81AD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5EF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F46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AC1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CB2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163.176,78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7CB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162.830,65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D15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99,79%</w:t>
            </w:r>
          </w:p>
        </w:tc>
      </w:tr>
      <w:tr w:rsidR="009812D9" w:rsidRPr="007D42F2" w14:paraId="0595614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9F3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7458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390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1.583.529,13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5C9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351.522,84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CEB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128.829,69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4B94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36,65%</w:t>
            </w:r>
          </w:p>
        </w:tc>
      </w:tr>
      <w:tr w:rsidR="009812D9" w:rsidRPr="007D42F2" w14:paraId="498B32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235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A973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791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1.532.929,13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25C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240.087,37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384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117.881,22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D81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49,10%</w:t>
            </w:r>
          </w:p>
        </w:tc>
      </w:tr>
      <w:tr w:rsidR="009812D9" w:rsidRPr="007D42F2" w14:paraId="747F788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2EE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2BC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948F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227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111.435,47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98E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10.948,47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E4F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9,82%</w:t>
            </w:r>
          </w:p>
        </w:tc>
      </w:tr>
      <w:tr w:rsidR="009812D9" w:rsidRPr="007D42F2" w14:paraId="5CE0041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410D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B54A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0A69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SUSTAV VODOOPSKRBE I ODVODNJE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7B90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6476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2845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16.620,37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F0A4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50,90%</w:t>
            </w:r>
          </w:p>
        </w:tc>
      </w:tr>
      <w:tr w:rsidR="009812D9" w:rsidRPr="007D42F2" w14:paraId="6F6F963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8FB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B43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866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Iskopi za vodovod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148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FA4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C13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16.620,37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C97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50,90%</w:t>
            </w:r>
          </w:p>
        </w:tc>
      </w:tr>
      <w:tr w:rsidR="009812D9" w:rsidRPr="007D42F2" w14:paraId="231A71E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24C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0CA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59E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441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D21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16.620,37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7F7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50,90%</w:t>
            </w:r>
          </w:p>
        </w:tc>
      </w:tr>
      <w:tr w:rsidR="009812D9" w:rsidRPr="007D42F2" w14:paraId="21E48DD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1463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FCA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E04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E4E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6F1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16.620,37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825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50,90%</w:t>
            </w:r>
          </w:p>
        </w:tc>
      </w:tr>
      <w:tr w:rsidR="009812D9" w:rsidRPr="007D42F2" w14:paraId="332F4DB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70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FC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82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DD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B2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90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16.620,37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37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50,90%</w:t>
            </w:r>
          </w:p>
        </w:tc>
      </w:tr>
      <w:tr w:rsidR="009812D9" w:rsidRPr="007D42F2" w14:paraId="2A04065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2E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7B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E9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6A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C5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4B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16.620,37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14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07E4C0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7388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5020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EC86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GRADNJA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03C0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1.521.954,13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027C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132.045,75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652B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89.271,25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4259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67,61%</w:t>
            </w:r>
          </w:p>
        </w:tc>
      </w:tr>
      <w:tr w:rsidR="009812D9" w:rsidRPr="007D42F2" w14:paraId="313ADA0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678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F86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D0A3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Izgradnja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C87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EF0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B4E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E3F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115,00%</w:t>
            </w:r>
          </w:p>
        </w:tc>
      </w:tr>
      <w:tr w:rsidR="009812D9" w:rsidRPr="007D42F2" w14:paraId="6B4540F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BCE6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95F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3C4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C42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E1F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E53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115,00%</w:t>
            </w:r>
          </w:p>
        </w:tc>
      </w:tr>
      <w:tr w:rsidR="009812D9" w:rsidRPr="007D42F2" w14:paraId="7695F77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B29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FEC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C3E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7DF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C4E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D09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115,00%</w:t>
            </w:r>
          </w:p>
        </w:tc>
      </w:tr>
      <w:tr w:rsidR="009812D9" w:rsidRPr="007D42F2" w14:paraId="2207D7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81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38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E0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B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81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3C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11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115,00%</w:t>
            </w:r>
          </w:p>
        </w:tc>
      </w:tr>
      <w:tr w:rsidR="009812D9" w:rsidRPr="007D42F2" w14:paraId="4ED24C4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A7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16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F5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35C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23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5E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FC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BDB8A6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6157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25AD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481A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Ugradnja električnih ormara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F25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342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ACA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C17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46,88%</w:t>
            </w:r>
          </w:p>
        </w:tc>
      </w:tr>
      <w:tr w:rsidR="009812D9" w:rsidRPr="007D42F2" w14:paraId="3F9F420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8FEC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24F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08C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83E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A3F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A48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46,88%</w:t>
            </w:r>
          </w:p>
        </w:tc>
      </w:tr>
      <w:tr w:rsidR="009812D9" w:rsidRPr="007D42F2" w14:paraId="7340154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53F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51D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053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07E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F26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444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46,88%</w:t>
            </w:r>
          </w:p>
        </w:tc>
      </w:tr>
      <w:tr w:rsidR="009812D9" w:rsidRPr="007D42F2" w14:paraId="64A0602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2F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82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89F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B4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C7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84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65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11AFB9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47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48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94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AC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B2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6E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69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93,75%</w:t>
            </w:r>
          </w:p>
        </w:tc>
      </w:tr>
      <w:tr w:rsidR="009812D9" w:rsidRPr="007D42F2" w14:paraId="777E8FE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21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F4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6E9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30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5C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34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F1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FF6CFE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347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DA2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58B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Izgradnja pješačkog koridora,uređ.parkinga, obnovljivi izvori energije i ozelenjavanje Dubrave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0ED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1.028.625,00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E39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CA9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2B0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04CA34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254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E3B2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F57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F37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C9C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18.625,00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96E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444F61E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FE5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3C1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CC1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0F3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3D9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18.625,00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B14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25381D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56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31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D7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87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61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33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18.625,00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9B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E125F2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DF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A6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4264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C9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proizvedena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C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C3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86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18.625,00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BD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C6C392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D4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B65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AF3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4E0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504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D0E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34,93%</w:t>
            </w:r>
          </w:p>
        </w:tc>
      </w:tr>
      <w:tr w:rsidR="009812D9" w:rsidRPr="007D42F2" w14:paraId="363274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9DE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5DA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60E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196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D0C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F5F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C60227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D6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ED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C8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FA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18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8E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3F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9D95DB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6B50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A9A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EDC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4F5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908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355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C1C5C5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96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7F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45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00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72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C0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6D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BDBCC1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81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432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4264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0DE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proizvedena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61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60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DA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D2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226252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123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28E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09A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Ograda Mjesno groblje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784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291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99.420,75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75C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57.408,75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52A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57,74%</w:t>
            </w:r>
          </w:p>
        </w:tc>
      </w:tr>
      <w:tr w:rsidR="009812D9" w:rsidRPr="007D42F2" w14:paraId="1201917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BD89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175D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1C6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941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46.650,00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5B5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46.525,00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9F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99,73%</w:t>
            </w:r>
          </w:p>
        </w:tc>
      </w:tr>
      <w:tr w:rsidR="009812D9" w:rsidRPr="007D42F2" w14:paraId="0FE5D2B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53B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0A2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BFA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1AA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46.650,00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667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46.525,00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528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99,73%</w:t>
            </w:r>
          </w:p>
        </w:tc>
      </w:tr>
      <w:tr w:rsidR="009812D9" w:rsidRPr="007D42F2" w14:paraId="7BE76E3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FB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32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13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3E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43.400,00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4E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46.650,00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9F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46.525,00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4B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99,73%</w:t>
            </w:r>
          </w:p>
        </w:tc>
      </w:tr>
      <w:tr w:rsidR="009812D9" w:rsidRPr="007D42F2" w14:paraId="0303594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EF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D7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AA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62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67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DE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43.400,00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14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9BBD29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32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FD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4264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3F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proizvedena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C43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98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1D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C5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492366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9F7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494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90A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9B7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162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EAA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103B13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E6C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D1A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788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E49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9BD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7D1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60F435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3A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2C2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B7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DA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E2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76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A8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048F7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727E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3F9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56F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F0D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51.370,75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F17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10.883,75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A3A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21,19%</w:t>
            </w:r>
          </w:p>
        </w:tc>
      </w:tr>
      <w:tr w:rsidR="009812D9" w:rsidRPr="007D42F2" w14:paraId="613FFA9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14E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715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FBD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A95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10.883,75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694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10.883,75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3E6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B40370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D4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09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F3C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16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0E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10.883,75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90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10.883,75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45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11681F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CE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5F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F8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BE5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33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4D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10.883,75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32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E7BAC9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3E71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671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38C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0D4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40.487,00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B42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65C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1B437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54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20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D8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13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3B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40.487,00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7A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64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A168B1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631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D1AD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C2F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Ozelenjivanje, spajanje i izgradnja mreže za pješačenje - Radnička nogostup i drvored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FA4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399.329,13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2CB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25F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56A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1E3C621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22C1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381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7DB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399.329,13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3251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344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CCF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8BDB6D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C8A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BE17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4C9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399.329,13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AB8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357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180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D4FB39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BF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12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24B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9A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399.329,13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FE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51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2D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1D37DD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AA4B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213EE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7821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99D6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628.900,00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C03B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610.976,80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A7D4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588.106,41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9972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96,26%</w:t>
            </w:r>
          </w:p>
        </w:tc>
      </w:tr>
      <w:tr w:rsidR="009812D9" w:rsidRPr="007D42F2" w14:paraId="6E35177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FC8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421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019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AE4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84D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9C7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2.131,43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7CA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71,05%</w:t>
            </w:r>
          </w:p>
        </w:tc>
      </w:tr>
      <w:tr w:rsidR="009812D9" w:rsidRPr="007D42F2" w14:paraId="3CEB549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108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A22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632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60F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F1C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2.131,43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3DA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71,05%</w:t>
            </w:r>
          </w:p>
        </w:tc>
      </w:tr>
      <w:tr w:rsidR="009812D9" w:rsidRPr="007D42F2" w14:paraId="774F6DB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894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7DA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24C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D36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2CE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2.131,43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3B2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71,05%</w:t>
            </w:r>
          </w:p>
        </w:tc>
      </w:tr>
      <w:tr w:rsidR="009812D9" w:rsidRPr="007D42F2" w14:paraId="2BCB7FA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5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8D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E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8E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16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69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2.131,43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37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71,05%</w:t>
            </w:r>
          </w:p>
        </w:tc>
      </w:tr>
      <w:tr w:rsidR="009812D9" w:rsidRPr="007D42F2" w14:paraId="3995AF6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51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FC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5B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E1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4D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4F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1.629,68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E1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E9AF09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E96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D1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FD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71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94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1E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501,75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55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5CAFE8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D53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21C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F25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06A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338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A50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285.438,82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7B0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201,30%</w:t>
            </w:r>
          </w:p>
        </w:tc>
      </w:tr>
      <w:tr w:rsidR="009812D9" w:rsidRPr="007D42F2" w14:paraId="4A16EFF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366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74E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CA1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430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52F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160.723,50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F33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9AD2FA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1E3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650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40D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49D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9A9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160.723,50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814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68002A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AD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D2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05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C4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2A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0F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160.723,50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EF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346CCD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5A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78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34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93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3E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4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160.723,50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11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B8A5E0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DE6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60F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8E6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A75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110.800,00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D0A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113.460,87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5EA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102,40%</w:t>
            </w:r>
          </w:p>
        </w:tc>
      </w:tr>
      <w:tr w:rsidR="009812D9" w:rsidRPr="007D42F2" w14:paraId="49BC5E3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6DE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0B36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FF9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2A0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110.800,00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4A3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113.460,87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F11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102,40%</w:t>
            </w:r>
          </w:p>
        </w:tc>
      </w:tr>
      <w:tr w:rsidR="009812D9" w:rsidRPr="007D42F2" w14:paraId="01FEDC5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45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1F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2A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E1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EF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110.800,00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CE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113.460,87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B2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102,40%</w:t>
            </w:r>
          </w:p>
        </w:tc>
      </w:tr>
      <w:tr w:rsidR="009812D9" w:rsidRPr="007D42F2" w14:paraId="1313C54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D3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CD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8E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A6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29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23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2.011,01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24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7420C7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D9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C9D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9D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E5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5C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3E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110.684,71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C2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E23B06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55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7C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B4D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B7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15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89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765,15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A1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698D53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3FE1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7B6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0DA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9EE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1A9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11.254,45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102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36,30%</w:t>
            </w:r>
          </w:p>
        </w:tc>
      </w:tr>
      <w:tr w:rsidR="009812D9" w:rsidRPr="007D42F2" w14:paraId="2DC8C59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78E9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636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B6D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64D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594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11.254,45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AC9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36,30%</w:t>
            </w:r>
          </w:p>
        </w:tc>
      </w:tr>
      <w:tr w:rsidR="009812D9" w:rsidRPr="007D42F2" w14:paraId="558CA65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61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E36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8A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18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64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EF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11.254,45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C1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36,30%</w:t>
            </w:r>
          </w:p>
        </w:tc>
      </w:tr>
      <w:tr w:rsidR="009812D9" w:rsidRPr="007D42F2" w14:paraId="003EF3C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9D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64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099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41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22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92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262,50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EC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637220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0E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9B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42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7C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0F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15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10.991,95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B5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AA09FC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1B1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2FE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48F6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nerazvrstanih cesta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3E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297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237.123,70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19B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114.118,41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4DA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48,13%</w:t>
            </w:r>
          </w:p>
        </w:tc>
      </w:tr>
      <w:tr w:rsidR="009812D9" w:rsidRPr="007D42F2" w14:paraId="0BA0B14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F01F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C3F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EA2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404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20.765,99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4A2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44.971,30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2101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216,56%</w:t>
            </w:r>
          </w:p>
        </w:tc>
      </w:tr>
      <w:tr w:rsidR="009812D9" w:rsidRPr="007D42F2" w14:paraId="4DA0207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EBA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4BC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24C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D99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20.765,99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2DF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44.971,30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61C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216,56%</w:t>
            </w:r>
          </w:p>
        </w:tc>
      </w:tr>
      <w:tr w:rsidR="009812D9" w:rsidRPr="007D42F2" w14:paraId="5D50A0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01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43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339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19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0B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20.765,99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EB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44.971,30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30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216,56%</w:t>
            </w:r>
          </w:p>
        </w:tc>
      </w:tr>
      <w:tr w:rsidR="009812D9" w:rsidRPr="007D42F2" w14:paraId="2B954AA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31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0C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3E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38C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54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32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5.660,18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61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DAA2CF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6C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3AB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75E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80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D2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C54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39.311,12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B6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F393DC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BC5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E6A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D7C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BF4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787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D08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D7AEC1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4B32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96B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3.2.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A98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D3E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2B7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481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C31107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EA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F1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C7A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831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34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3A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F9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CBBBBB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36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6A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30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B7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C1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9B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69.147,11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8B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78591B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D2F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BC6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DEE7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1D6F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147.210,60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1BB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4EF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D13F9B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511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7940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776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0C3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77.210,60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42E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197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3E32831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CE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B01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61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1BF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10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77.210,60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3C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29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782B3E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B55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93B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D40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CFB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A32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B87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B26322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3C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5D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2A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71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FA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95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4F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31927B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DFF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246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8B9F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Poslovi zimske službe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3CC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BFA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48.169,43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70B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26.258,73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5E0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54,51%</w:t>
            </w:r>
          </w:p>
        </w:tc>
      </w:tr>
      <w:tr w:rsidR="009812D9" w:rsidRPr="007D42F2" w14:paraId="30CC1EC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63D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DA78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0DF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97B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48.169,43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5AE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26.258,73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951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54,51%</w:t>
            </w:r>
          </w:p>
        </w:tc>
      </w:tr>
      <w:tr w:rsidR="009812D9" w:rsidRPr="007D42F2" w14:paraId="1A5517C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52A6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9A7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8EA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80D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48.169,43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FF3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26.258,73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77F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54,51%</w:t>
            </w:r>
          </w:p>
        </w:tc>
      </w:tr>
      <w:tr w:rsidR="009812D9" w:rsidRPr="007D42F2" w14:paraId="173B95B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CA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03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6D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50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B9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48.169,43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66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26.258,73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AD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54,51%</w:t>
            </w:r>
          </w:p>
        </w:tc>
      </w:tr>
      <w:tr w:rsidR="009812D9" w:rsidRPr="007D42F2" w14:paraId="013DCA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A7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B86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37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ECC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95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3D4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26.258,73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82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0E528A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5D4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730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46D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ESCO model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C95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CBC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58.541,20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AA8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53.877,87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03B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92,03%</w:t>
            </w:r>
          </w:p>
        </w:tc>
      </w:tr>
      <w:tr w:rsidR="009812D9" w:rsidRPr="007D42F2" w14:paraId="61E58F5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4B42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02C3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C01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B4A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58.541,20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412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53.877,87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EA8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92,03%</w:t>
            </w:r>
          </w:p>
        </w:tc>
      </w:tr>
      <w:tr w:rsidR="009812D9" w:rsidRPr="007D42F2" w14:paraId="1EEE144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97E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CE2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3B2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3D3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58.541,20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9AE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53.877,87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7C5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92,03%</w:t>
            </w:r>
          </w:p>
        </w:tc>
      </w:tr>
      <w:tr w:rsidR="009812D9" w:rsidRPr="007D42F2" w14:paraId="7ADCEA3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E9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30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10A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E0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B0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58.541,20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09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53.877,87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1D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92,03%</w:t>
            </w:r>
          </w:p>
        </w:tc>
      </w:tr>
      <w:tr w:rsidR="009812D9" w:rsidRPr="007D42F2" w14:paraId="3B1054B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AD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99C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728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D1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60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86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20.336,67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91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BD7600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14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37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A2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52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89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F4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33.541,20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F2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6EF210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78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A966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96A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Subvencija mikročipiranja i sterilizacije pasa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747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38E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1.548,47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258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1.745,42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510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112,72%</w:t>
            </w:r>
          </w:p>
        </w:tc>
      </w:tr>
      <w:tr w:rsidR="009812D9" w:rsidRPr="007D42F2" w14:paraId="549454A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204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AF8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3FB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98B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463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796,95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088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132,83%</w:t>
            </w:r>
          </w:p>
        </w:tc>
      </w:tr>
      <w:tr w:rsidR="009812D9" w:rsidRPr="007D42F2" w14:paraId="6611B43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14B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C52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29C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712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424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796,95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CEB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132,83%</w:t>
            </w:r>
          </w:p>
        </w:tc>
      </w:tr>
      <w:tr w:rsidR="009812D9" w:rsidRPr="007D42F2" w14:paraId="526E862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15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F01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EE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55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D6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0E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796,95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FC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132,83%</w:t>
            </w:r>
          </w:p>
        </w:tc>
      </w:tr>
      <w:tr w:rsidR="009812D9" w:rsidRPr="007D42F2" w14:paraId="0DEDE17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43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2F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E1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9F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DF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14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796,95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8D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D4B54A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EB5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EDB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CD5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129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948,47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94C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948,47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119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38A2DE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B5C5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24F2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31A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06F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948,47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E98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948,47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AAB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45257A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69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2C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53E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9D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92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948,47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C9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948,47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16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937477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00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6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B3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4D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B9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AB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948,47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0A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28443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CDE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5E3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A529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Subvencija sterilizacije i kastracije mačaka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EC7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935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ADE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1.513,60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0B4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94,60%</w:t>
            </w:r>
          </w:p>
        </w:tc>
      </w:tr>
      <w:tr w:rsidR="009812D9" w:rsidRPr="007D42F2" w14:paraId="51D10C5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2812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27C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D57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51E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169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1.513,60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DE5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94,60%</w:t>
            </w:r>
          </w:p>
        </w:tc>
      </w:tr>
      <w:tr w:rsidR="009812D9" w:rsidRPr="007D42F2" w14:paraId="016FFD5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448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E1F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A0A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E87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6A5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1.513,60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963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94,60%</w:t>
            </w:r>
          </w:p>
        </w:tc>
      </w:tr>
      <w:tr w:rsidR="009812D9" w:rsidRPr="007D42F2" w14:paraId="12E46C7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9E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D9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A1E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AD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49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05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1.513,60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F0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94,60%</w:t>
            </w:r>
          </w:p>
        </w:tc>
      </w:tr>
      <w:tr w:rsidR="009812D9" w:rsidRPr="007D42F2" w14:paraId="46CBEB5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5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4EA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420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DD3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00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50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1.513,60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80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1276C5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0A2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13B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656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Zbrinjavanje napuštenih životinja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E9B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B44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FB8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42.487,25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0EB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100,44%</w:t>
            </w:r>
          </w:p>
        </w:tc>
      </w:tr>
      <w:tr w:rsidR="009812D9" w:rsidRPr="007D42F2" w14:paraId="368CA99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3BB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6E5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5B0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5D0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E96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42.487,25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742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100,44%</w:t>
            </w:r>
          </w:p>
        </w:tc>
      </w:tr>
      <w:tr w:rsidR="009812D9" w:rsidRPr="007D42F2" w14:paraId="1EEE361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1E2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016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945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CCC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F7B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42.487,25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99C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100,44%</w:t>
            </w:r>
          </w:p>
        </w:tc>
      </w:tr>
      <w:tr w:rsidR="009812D9" w:rsidRPr="007D42F2" w14:paraId="6C37422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59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B1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6B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BC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9D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1F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42.487,25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AC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100,44%</w:t>
            </w:r>
          </w:p>
        </w:tc>
      </w:tr>
      <w:tr w:rsidR="009812D9" w:rsidRPr="007D42F2" w14:paraId="3BCFDDE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0B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F5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19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137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F7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F3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42.487,25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7B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906BD7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11D7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364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6C9F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Deratizacija i dezinsekcija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E1A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066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25.137,75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D0B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24.778,63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864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98,57%</w:t>
            </w:r>
          </w:p>
        </w:tc>
      </w:tr>
      <w:tr w:rsidR="009812D9" w:rsidRPr="007D42F2" w14:paraId="2D2D2C2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FC9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8382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F0F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8F7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25.137,75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5D6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24.778,63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DEB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98,57%</w:t>
            </w:r>
          </w:p>
        </w:tc>
      </w:tr>
      <w:tr w:rsidR="009812D9" w:rsidRPr="007D42F2" w14:paraId="254F07D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3FC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32D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E6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A95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25.137,75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750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24.778,63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8A2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98,57%</w:t>
            </w:r>
          </w:p>
        </w:tc>
      </w:tr>
      <w:tr w:rsidR="009812D9" w:rsidRPr="007D42F2" w14:paraId="2D493D7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F2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EE6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28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E3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30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25.137,75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7B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24.778,63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6A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98,57%</w:t>
            </w:r>
          </w:p>
        </w:tc>
      </w:tr>
      <w:tr w:rsidR="009812D9" w:rsidRPr="007D42F2" w14:paraId="692B6CC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E5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6E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95B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9C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1C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7D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24.778,63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56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C592A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A0D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298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0D02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dječjeg igrališta - Park Šanac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EFC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815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B75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16F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779B8E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459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DFB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745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903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EA0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7A3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ED0115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874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89D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76A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75D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AE5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E84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E22B2D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D1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E3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00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13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9A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E2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41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EF958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9D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EA0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EC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3C9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0F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CB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B0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F009CD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AD1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3D04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A1E9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Dječje igralište Zvekovac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374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156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ADD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3BF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9EF336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D9F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F09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55D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0AC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C69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841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961E24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2B9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3F6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3C7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358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D16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6D9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A98D6D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D7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448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1B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8F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FA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F5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8B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E04A38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E3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4D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4227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C4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14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3B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F7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32.631,25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8E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FD0D81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350D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1CC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8AC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Rješavanje imovinsko pravnih odnosa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E79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E62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278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06B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A86F5F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FAF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88D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7E8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F8D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364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EB2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89617E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7092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60F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409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997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D7B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216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93B908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0F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0B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73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41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03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7F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C9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3F309C5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3AA7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F459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E5C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Akcijski plan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795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735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23A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E1C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116AB4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9FA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11AE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2DC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2E6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37E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92D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D1E8D1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5A8C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86F9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D24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89B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6A6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745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D900F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72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416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CE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F2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29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1F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83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F7B564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B7377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D7D0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69C3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89DA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9710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61.312,96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5021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67.983,75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18CC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110,88%</w:t>
            </w:r>
          </w:p>
        </w:tc>
      </w:tr>
      <w:tr w:rsidR="009812D9" w:rsidRPr="007D42F2" w14:paraId="628D175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AA18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2FAC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A81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Rad reciklažnog dvorišta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BA3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42.150,00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C9B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42.986,18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8C0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48.885,61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58F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113,72%</w:t>
            </w:r>
          </w:p>
        </w:tc>
      </w:tr>
      <w:tr w:rsidR="009812D9" w:rsidRPr="007D42F2" w14:paraId="4536DFD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58B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EA86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F22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42.150,00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FF3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42.986,18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B50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48.885,61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6A2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113,72%</w:t>
            </w:r>
          </w:p>
        </w:tc>
      </w:tr>
      <w:tr w:rsidR="009812D9" w:rsidRPr="007D42F2" w14:paraId="4400DCA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685D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A36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102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42.150,00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AD5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42.986,18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C97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48.885,61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6ED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113,72%</w:t>
            </w:r>
          </w:p>
        </w:tc>
      </w:tr>
      <w:tr w:rsidR="009812D9" w:rsidRPr="007D42F2" w14:paraId="70FA57D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86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E1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EF6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4C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42.150,00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F5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42.986,18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C1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48.885,61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BF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113,72%</w:t>
            </w:r>
          </w:p>
        </w:tc>
      </w:tr>
      <w:tr w:rsidR="009812D9" w:rsidRPr="007D42F2" w14:paraId="51337DF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5F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1D1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CF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9A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7C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37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1.372,86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BF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BEE071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2F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22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4D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68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82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EC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370,56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8C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722880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4B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C9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61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81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50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92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47.142,19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7B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B0ACC1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A8B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E53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930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Sanacija divljih deponija u Općini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11E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192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A5D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3EA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10563E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338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A23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AE0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C1F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BF7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F2E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97CEF8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5CE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ACE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7A0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A14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0A44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AF9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9151C6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DA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0B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9E9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69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71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82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1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34453B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FDC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1042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A28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Renta za zbrinjavanje komunalnog otpada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C6D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990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4A5F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9.098,14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0F0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129,97%</w:t>
            </w:r>
          </w:p>
        </w:tc>
      </w:tr>
      <w:tr w:rsidR="009812D9" w:rsidRPr="007D42F2" w14:paraId="0AB2AB5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BF3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A05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3D5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DE5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58A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9.098,14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867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129,97%</w:t>
            </w:r>
          </w:p>
        </w:tc>
      </w:tr>
      <w:tr w:rsidR="009812D9" w:rsidRPr="007D42F2" w14:paraId="19CF947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2E2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931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583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23D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A28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9.098,14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120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129,97%</w:t>
            </w:r>
          </w:p>
        </w:tc>
      </w:tr>
      <w:tr w:rsidR="009812D9" w:rsidRPr="007D42F2" w14:paraId="2D65A8D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9C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A47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723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E9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AD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AA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9.098,14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79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129,97%</w:t>
            </w:r>
          </w:p>
        </w:tc>
      </w:tr>
      <w:tr w:rsidR="009812D9" w:rsidRPr="007D42F2" w14:paraId="4F4D6C7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56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1C8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C1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2B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94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C7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9.098,14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F4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20DA52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7B4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DC7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86E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Strategija zelene urbane obnove - projekt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D63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227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CB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39B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C08864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679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6C2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F14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68F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E79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833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172172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367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DE9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BC0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763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226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9E1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CF46DD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5D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8BF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23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D2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2F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52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A3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CBAEE4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CF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3F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4264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06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proizvedena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C9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16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79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74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15C97B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430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337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CD4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Projekt solarne elektrane na zgradi dječjeg vrtića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211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A77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220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86F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33CA842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52E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041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F39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375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EE2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17F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537FB1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BBFC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819D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344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82A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FC9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A49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10FA24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35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DD3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E7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DBD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47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B6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70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814875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D0E2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7D9E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33F6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RAZVOJ I SIGURNOST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88F3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F70E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35.986,77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E0FD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53.111,77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7484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147,59%</w:t>
            </w:r>
          </w:p>
        </w:tc>
      </w:tr>
      <w:tr w:rsidR="009812D9" w:rsidRPr="007D42F2" w14:paraId="5D856A2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9288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418D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A7FA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3D slova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FC0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AD6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CF9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AA9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C89C96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6976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C76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5C1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78C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DF4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C63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C80A55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06C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057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8B4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02E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75B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79D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1379EB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DE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BF7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BD6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067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02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25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52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65A8F1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0D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0A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48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56F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38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C9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22.036,77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AB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8274B4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F76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48C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AD94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Kućišta za kamere za mjerenje brzine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E69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FFA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742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293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EA215F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08F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BF95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ABF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034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FB0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4DA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FD80DE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23C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9F1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616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3CF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625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F6A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F5F2AF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28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E8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31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BE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D27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B2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12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451241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3A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A8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4227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23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81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CC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A9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13.950,00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B4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715776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317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3B2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6664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Uređenje autobusnih stajališta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DBD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61B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1CB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7BB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70ED15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2AF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33F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5C9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425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E42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C8A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10421AC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675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C6AC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9F9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360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58C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389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56E791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41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0D8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16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2C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CB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D4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51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02E572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938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C429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2FE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Izgradnja potpornog zida i parking na autobusnom kolodvoru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42D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186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A73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E03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0EB6DBA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17A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0E2E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EC2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3A2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9E0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2E1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4432BF0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604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61E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862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ACC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A1F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33A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6CFF4A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4C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FB2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42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ED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C9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C2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1C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1ABADD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08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C1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53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Ceste, željeznice i ostali prometni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D6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81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46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17.125,00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C5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E97140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37CF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3290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00215 UPRAVLJANJE IMOVINOM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CC06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4.043.100,00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2AF1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2.888.162,75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8087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2.458.854,94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D59A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85,14%</w:t>
            </w:r>
          </w:p>
        </w:tc>
      </w:tr>
      <w:tr w:rsidR="009812D9" w:rsidRPr="007D42F2" w14:paraId="201D558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80D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095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06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F94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55.407,24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DB492" w14:textId="07CB2CCB" w:rsidR="007D42F2" w:rsidRPr="007D42F2" w:rsidRDefault="002D71BE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2D71B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45.194,75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52DDE" w14:textId="577D52F1" w:rsidR="007D42F2" w:rsidRPr="007D42F2" w:rsidRDefault="00C05CB5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C05C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81,57%</w:t>
            </w:r>
          </w:p>
        </w:tc>
      </w:tr>
      <w:tr w:rsidR="009812D9" w:rsidRPr="007D42F2" w14:paraId="618A634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7A2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846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74D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90C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55.407,24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4FB43" w14:textId="49A4632E" w:rsidR="007D42F2" w:rsidRPr="007D42F2" w:rsidRDefault="002D71BE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2D71B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45.194,75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7FD3A" w14:textId="0F106942" w:rsidR="007D42F2" w:rsidRPr="007D42F2" w:rsidRDefault="00C05CB5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C05C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81,57%</w:t>
            </w:r>
          </w:p>
        </w:tc>
      </w:tr>
      <w:tr w:rsidR="009812D9" w:rsidRPr="007D42F2" w14:paraId="43B1C6B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F60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3C01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CFA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4EB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14.480,92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85A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16.734,36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413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115,56%</w:t>
            </w:r>
          </w:p>
        </w:tc>
      </w:tr>
      <w:tr w:rsidR="009812D9" w:rsidRPr="007D42F2" w14:paraId="76CB3F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2541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1EEB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3.2.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FF1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8AC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14.480,92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C64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16.734,36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658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115,56%</w:t>
            </w:r>
          </w:p>
        </w:tc>
      </w:tr>
      <w:tr w:rsidR="009812D9" w:rsidRPr="007D42F2" w14:paraId="5CCB7E2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C9B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890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E81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1.482.000,00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A7A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602.456,65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8640D" w14:textId="4A0009C2" w:rsidR="007D42F2" w:rsidRPr="007D42F2" w:rsidRDefault="002D71BE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2D71B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181.107,89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3128C" w14:textId="2D09874F" w:rsidR="007D42F2" w:rsidRPr="007D42F2" w:rsidRDefault="00C05CB5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C05C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30,06</w:t>
            </w:r>
            <w:r w:rsidR="007D42F2"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%</w:t>
            </w:r>
          </w:p>
        </w:tc>
      </w:tr>
      <w:tr w:rsidR="009812D9" w:rsidRPr="007D42F2" w14:paraId="5E24A2F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414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1A8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4EC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1.482.000,00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44B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593.456,65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EB0CB" w14:textId="7E840DF2" w:rsidR="007D42F2" w:rsidRPr="007D42F2" w:rsidRDefault="002D71BE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2D71B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172.107,89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13B82" w14:textId="0F1B3288" w:rsidR="007D42F2" w:rsidRPr="007D42F2" w:rsidRDefault="00C05CB5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C05C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29,00</w:t>
            </w:r>
            <w:r w:rsidR="007D42F2"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%</w:t>
            </w:r>
          </w:p>
        </w:tc>
      </w:tr>
      <w:tr w:rsidR="009812D9" w:rsidRPr="007D42F2" w14:paraId="13E4F1C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C0B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F37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2DE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75E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070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939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F1DA21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CA8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81E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42C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C76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DC7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630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27D6B8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01EE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F4A6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554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386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66A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4FF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A5D062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927A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80A7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ABDD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UPRAVLJANJE IMOVINOM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6C97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4.043.100,00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FEAB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2.888.162,75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FD9F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2.458.854,94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D63F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85,14%</w:t>
            </w:r>
          </w:p>
        </w:tc>
      </w:tr>
      <w:tr w:rsidR="009812D9" w:rsidRPr="007D42F2" w14:paraId="19BED38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122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4A6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A57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društvenih domova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FF9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855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37.256,00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547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33.649,85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2C0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90,32%</w:t>
            </w:r>
          </w:p>
        </w:tc>
      </w:tr>
      <w:tr w:rsidR="009812D9" w:rsidRPr="007D42F2" w14:paraId="738B470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4CC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CFC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A1C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68E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37.256,00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832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33.649,85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ECE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90,32%</w:t>
            </w:r>
          </w:p>
        </w:tc>
      </w:tr>
      <w:tr w:rsidR="009812D9" w:rsidRPr="007D42F2" w14:paraId="0729710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02F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DEF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B26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92BF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37.256,00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9B6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33.649,85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EC0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90,32%</w:t>
            </w:r>
          </w:p>
        </w:tc>
      </w:tr>
      <w:tr w:rsidR="009812D9" w:rsidRPr="007D42F2" w14:paraId="66BDEBA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9B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DF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36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5E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53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26.950,00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3A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23.343,85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71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86,62%</w:t>
            </w:r>
          </w:p>
        </w:tc>
      </w:tr>
      <w:tr w:rsidR="009812D9" w:rsidRPr="007D42F2" w14:paraId="1240A4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D0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4F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F81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6C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D5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A2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4.916,47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B6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915B76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78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BC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48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CFE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D0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85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11.146,56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E8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4364DF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EF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F88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E2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D1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5C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A8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7.280,82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5C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7E6BE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41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58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11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8D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BD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10.306,00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C5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10.306,00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B8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B5CBFF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D7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74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70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A4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BC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48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9.100,00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A2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AC363A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23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65A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4227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10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1E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4C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FB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1.206,00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39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3274BC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E3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AD8B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940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općinskih poslovnih objekata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FA1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D59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29.480,92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9F2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26.922,42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CA0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91,32%</w:t>
            </w:r>
          </w:p>
        </w:tc>
      </w:tr>
      <w:tr w:rsidR="009812D9" w:rsidRPr="007D42F2" w14:paraId="51321E1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309E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0B3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145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926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AB8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10.188,06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606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67,92%</w:t>
            </w:r>
          </w:p>
        </w:tc>
      </w:tr>
      <w:tr w:rsidR="009812D9" w:rsidRPr="007D42F2" w14:paraId="7360A79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A74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58D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155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40E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B9C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10.188,06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07C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67,92%</w:t>
            </w:r>
          </w:p>
        </w:tc>
      </w:tr>
      <w:tr w:rsidR="009812D9" w:rsidRPr="007D42F2" w14:paraId="005AA3F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A4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34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6C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E3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4D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3F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10.188,06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22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67,92%</w:t>
            </w:r>
          </w:p>
        </w:tc>
      </w:tr>
      <w:tr w:rsidR="009812D9" w:rsidRPr="007D42F2" w14:paraId="45C4817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86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12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AF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1E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DB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E3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3.176,51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DC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269572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546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A04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7C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41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D4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AA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7.011,55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A3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7DE4B2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1D7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CC8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221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B33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14.480,92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533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16.734,36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F7B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115,56%</w:t>
            </w:r>
          </w:p>
        </w:tc>
      </w:tr>
      <w:tr w:rsidR="009812D9" w:rsidRPr="007D42F2" w14:paraId="1B7ED42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620E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878C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3.2.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D91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6B2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14.480,92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F74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16.734,36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68D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115,56%</w:t>
            </w:r>
          </w:p>
        </w:tc>
      </w:tr>
      <w:tr w:rsidR="009812D9" w:rsidRPr="007D42F2" w14:paraId="5D511A7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32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9F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96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F5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3C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14.480,92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9D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16.734,36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0D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115,56%</w:t>
            </w:r>
          </w:p>
        </w:tc>
      </w:tr>
      <w:tr w:rsidR="009812D9" w:rsidRPr="007D42F2" w14:paraId="21AA218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06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94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6C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CE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C51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73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998,05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75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19A2DB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E4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90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D38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0F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0E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10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7.455,43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C4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9D5C1E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6B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F1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AA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E4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8A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C9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7.494,57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58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D1C4EB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D0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208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E5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A5C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AD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7C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786,31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6A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552765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5067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6F03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9F2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Kulturni centar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248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505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13B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1.005,60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E87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35,91%</w:t>
            </w:r>
          </w:p>
        </w:tc>
      </w:tr>
      <w:tr w:rsidR="009812D9" w:rsidRPr="007D42F2" w14:paraId="512933E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1FB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0FA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988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96A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7E7C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1.005,60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37C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35,91%</w:t>
            </w:r>
          </w:p>
        </w:tc>
      </w:tr>
      <w:tr w:rsidR="009812D9" w:rsidRPr="007D42F2" w14:paraId="01863AE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974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4BF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D24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E12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0F5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1.005,60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94B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35,91%</w:t>
            </w:r>
          </w:p>
        </w:tc>
      </w:tr>
      <w:tr w:rsidR="009812D9" w:rsidRPr="007D42F2" w14:paraId="04C77CB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11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7E0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F8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49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C7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30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1.005,60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D8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35,91%</w:t>
            </w:r>
          </w:p>
        </w:tc>
      </w:tr>
      <w:tr w:rsidR="009812D9" w:rsidRPr="007D42F2" w14:paraId="0CB89D4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AB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455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F8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83D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CE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9D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876,68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DA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1E842C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90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3C7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F4C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1A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53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9F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118,83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D7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E0125B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B5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DC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D48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1E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E3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2E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10,09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F7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9F95643" w14:textId="77777777" w:rsidTr="009812D9">
        <w:trPr>
          <w:trHeight w:val="819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177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16B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6848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društvenih stanova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776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B39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501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F31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1C8A11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F13C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729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4ED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AAF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E31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A33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183261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87BF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7BA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DF9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A18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6BA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FCC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2A1E15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5D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13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48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F9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CC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ED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D1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B799C3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81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C35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C4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AD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56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C0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301,24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A2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2120B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02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EB5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07BC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Kulturni centar DV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9C7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39E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6E8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548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725E79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5F3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32D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216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748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77F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12F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42C769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3B4E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0ACC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24A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A5D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42C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FD5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46FDCD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5D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55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BC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8B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2D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80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D0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954521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EF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37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C4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CA3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A1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55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97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C03B1D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E6A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DDC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10E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Dječji vrtić Dubrava - opremanje novog prostora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CF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6AC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26.318,26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FC4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26.266,65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FC1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99,80%</w:t>
            </w:r>
          </w:p>
        </w:tc>
      </w:tr>
      <w:tr w:rsidR="009812D9" w:rsidRPr="007D42F2" w14:paraId="54D2FCF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A90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406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8B1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55B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26.318,26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63B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26.266,65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3A2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99,80%</w:t>
            </w:r>
          </w:p>
        </w:tc>
      </w:tr>
      <w:tr w:rsidR="009812D9" w:rsidRPr="007D42F2" w14:paraId="67F1A09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E661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F77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ACF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96D4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26.318,26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1DE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26.266,65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0D8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99,80%</w:t>
            </w:r>
          </w:p>
        </w:tc>
      </w:tr>
      <w:tr w:rsidR="009812D9" w:rsidRPr="007D42F2" w14:paraId="3594236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B3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CB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8E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29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09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26.318,26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F7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26.266,65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66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99,80%</w:t>
            </w:r>
          </w:p>
        </w:tc>
      </w:tr>
      <w:tr w:rsidR="009812D9" w:rsidRPr="007D42F2" w14:paraId="4EB0757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26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F3F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9B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F3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72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6E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26.266,65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FD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D15FF7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873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106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F59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Energetske obnove društvenih domova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385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270.000,00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3BB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71C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A73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AD3EC9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60C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606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398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270.000,00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5897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708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E82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0DA672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71BC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104A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D05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270.000,00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E1F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EB6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B11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8F26F5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80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56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10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A4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FC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5B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F2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98712B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01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A0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4126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C8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EB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2F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EE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5B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5B7AF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20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20D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12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36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3B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34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A5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51BCB8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C3F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3FA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849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Videonadzor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780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282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D02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DD1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6019BF6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B4C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35F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ACE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6B1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110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86E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6961016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0907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2C1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B11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1ED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760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4EF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2DD7C89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12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C2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4C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9A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E6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6E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33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AB40F1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80F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AC02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BA39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Uređenje parkirališta i okoliša - zgrada javne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EB9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C58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EA0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3D3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773C6A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37A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1A94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8B1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60D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DE6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147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0B260BD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88C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3F4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6BC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EB2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B14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FEC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680F493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10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2C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304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53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9B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0E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5E4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6E411E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CB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5F0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D9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A5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F5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B6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29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4304D9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0D7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5C6D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925A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Rekonstrukcija i adaptacija DVD Zvekovac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751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740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DAC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25.200,00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5F7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74,56%</w:t>
            </w:r>
          </w:p>
        </w:tc>
      </w:tr>
      <w:tr w:rsidR="009812D9" w:rsidRPr="007D42F2" w14:paraId="259EA6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D250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20D2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E7C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899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907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25.200,00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A1C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74,56%</w:t>
            </w:r>
          </w:p>
        </w:tc>
      </w:tr>
      <w:tr w:rsidR="009812D9" w:rsidRPr="007D42F2" w14:paraId="2BF7479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BF8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EBE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5C7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474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5CC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16.200,00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61F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65,32%</w:t>
            </w:r>
          </w:p>
        </w:tc>
      </w:tr>
      <w:tr w:rsidR="009812D9" w:rsidRPr="007D42F2" w14:paraId="60DBED5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39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FE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75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C1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2E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24.800,00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4A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16.200,00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8D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65,32%</w:t>
            </w:r>
          </w:p>
        </w:tc>
      </w:tr>
      <w:tr w:rsidR="009812D9" w:rsidRPr="007D42F2" w14:paraId="7AF1171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4F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AA0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4126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35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4E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13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1F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16.200,00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8C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F7F03E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DC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9E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1F2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09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3B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63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AD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34610D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5E7D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C40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EAD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716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632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856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9DBB95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E6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8A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CA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CC9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F9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F1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85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EFEAFD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F9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F5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4126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6B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214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50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52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0A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50C862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C02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8C1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5F6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Adaptacija NK Zvekovac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E0C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142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064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423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0D10AED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3FE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3AD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0D5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3F8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8F8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DCF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78B9352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00CE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BC6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AC2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2D3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A7A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A55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2D9C437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7A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DAE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BF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6A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2B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4B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E6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C3A710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5270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779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59A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Rekonstrukcija i dogradnja zgrade javne i druš.namjene dječji vrtić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443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2.530.000,00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1AB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2.751.156,33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6CA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2.338.459,18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383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85,00%</w:t>
            </w:r>
          </w:p>
        </w:tc>
      </w:tr>
      <w:tr w:rsidR="009812D9" w:rsidRPr="007D42F2" w14:paraId="18620AF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FBCC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A6C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6D9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26D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A8338" w14:textId="7487849F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8CD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74EBEF9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A70E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B28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A73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B2D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C7A14" w14:textId="0619411C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445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762691D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DC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E1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49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61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A3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6FF1" w14:textId="74937DAA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24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83F798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3F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58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4511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0F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3C3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7D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51C0" w14:textId="5476B76F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06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6710A2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5C1B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5DC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680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3FC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535.338,39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A6518" w14:textId="4DB75558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B3E6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122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.</w:t>
            </w:r>
            <w:r w:rsidRPr="00AB3E6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641,24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4F328" w14:textId="22675626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22,91</w:t>
            </w:r>
            <w:r w:rsidR="007D42F2"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%</w:t>
            </w:r>
          </w:p>
        </w:tc>
      </w:tr>
      <w:tr w:rsidR="009812D9" w:rsidRPr="007D42F2" w14:paraId="5611E81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FD5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9426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567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00E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535.338,39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5CD6E" w14:textId="0D51E903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B3E6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122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.</w:t>
            </w:r>
            <w:r w:rsidRPr="00AB3E6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641,24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6DCD0" w14:textId="7882F93C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22,91</w:t>
            </w:r>
            <w:r w:rsidR="007D42F2"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%</w:t>
            </w:r>
          </w:p>
        </w:tc>
      </w:tr>
      <w:tr w:rsidR="009812D9" w:rsidRPr="007D42F2" w14:paraId="285F03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5E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D7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91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83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AC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535.338,39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384E" w14:textId="1A64DBFA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B3E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.</w:t>
            </w:r>
            <w:r w:rsidRPr="00AB3E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641,24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C122" w14:textId="6FC0ACF0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22,91</w:t>
            </w:r>
            <w:r w:rsidR="007D42F2"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%</w:t>
            </w:r>
          </w:p>
        </w:tc>
      </w:tr>
      <w:tr w:rsidR="009812D9" w:rsidRPr="007D42F2" w14:paraId="52E44D6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F1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A5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4511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0E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22E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AA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BB02" w14:textId="2A57CF07" w:rsidR="007D42F2" w:rsidRPr="007D42F2" w:rsidRDefault="00AB3E6B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B3E6B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.</w:t>
            </w:r>
            <w:r w:rsidRPr="00AB3E6B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641,24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1D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F72C19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959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800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433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641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B49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10C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2C576E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8A3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F9F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634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CA8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392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AA4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D0CDBB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81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FA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04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2DF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52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67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61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FDC1C7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06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A8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4511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44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C5D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C5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5A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2.215.817,94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D0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1AACAE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3C5DD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9CB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00220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9A8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3A10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899C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12.750,00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5144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47,22%</w:t>
            </w:r>
          </w:p>
        </w:tc>
      </w:tr>
      <w:tr w:rsidR="009812D9" w:rsidRPr="007D42F2" w14:paraId="6880F04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6F9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9C2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D2D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7AB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87A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D27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318,75%</w:t>
            </w:r>
          </w:p>
        </w:tc>
      </w:tr>
      <w:tr w:rsidR="009812D9" w:rsidRPr="007D42F2" w14:paraId="7A168E3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EB6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9E30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7CE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646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A77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EF1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318,75%</w:t>
            </w:r>
          </w:p>
        </w:tc>
      </w:tr>
      <w:tr w:rsidR="009812D9" w:rsidRPr="007D42F2" w14:paraId="52580B9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B7A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980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479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CE5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775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985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25,50%</w:t>
            </w:r>
          </w:p>
        </w:tc>
      </w:tr>
      <w:tr w:rsidR="009812D9" w:rsidRPr="007D42F2" w14:paraId="64E42BD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075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EB4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DB7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CAB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5D8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929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25,50%</w:t>
            </w:r>
          </w:p>
        </w:tc>
      </w:tr>
      <w:tr w:rsidR="009812D9" w:rsidRPr="007D42F2" w14:paraId="24731C2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7245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EF5E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050F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PROSTORNO UREĐENJE I UNAPREĐENJE STANOVANJA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220E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95EF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2403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12.750,00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B053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47,22%</w:t>
            </w:r>
          </w:p>
        </w:tc>
      </w:tr>
      <w:tr w:rsidR="009812D9" w:rsidRPr="007D42F2" w14:paraId="7E9B7C7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B7F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807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3BE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Homogenizacija prostornih planova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BF1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8E9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2B4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1AB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318,75%</w:t>
            </w:r>
          </w:p>
        </w:tc>
      </w:tr>
      <w:tr w:rsidR="009812D9" w:rsidRPr="007D42F2" w14:paraId="154CBFE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1E4C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265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F98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D58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983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09B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318,75%</w:t>
            </w:r>
          </w:p>
        </w:tc>
      </w:tr>
      <w:tr w:rsidR="009812D9" w:rsidRPr="007D42F2" w14:paraId="735EB8C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BAE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129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FFC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48D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961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3F6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318,75%</w:t>
            </w:r>
          </w:p>
        </w:tc>
      </w:tr>
      <w:tr w:rsidR="009812D9" w:rsidRPr="007D42F2" w14:paraId="5DFA544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D8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66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C2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9F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85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4A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16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318,75%</w:t>
            </w:r>
          </w:p>
        </w:tc>
      </w:tr>
      <w:tr w:rsidR="009812D9" w:rsidRPr="007D42F2" w14:paraId="29D7A33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12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F8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54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F1C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CA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C3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34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7553E7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E3F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3A0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8A8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E-planovi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BD0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583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55A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04A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25,50%</w:t>
            </w:r>
          </w:p>
        </w:tc>
      </w:tr>
      <w:tr w:rsidR="009812D9" w:rsidRPr="007D42F2" w14:paraId="045400C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B7F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2CA5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A4B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B33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54F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9EB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25,50%</w:t>
            </w:r>
          </w:p>
        </w:tc>
      </w:tr>
      <w:tr w:rsidR="009812D9" w:rsidRPr="007D42F2" w14:paraId="3783702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EA8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46C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8F2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81E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822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9BC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25,50%</w:t>
            </w:r>
          </w:p>
        </w:tc>
      </w:tr>
      <w:tr w:rsidR="009812D9" w:rsidRPr="007D42F2" w14:paraId="4A32AEC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5D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9F8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3A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7A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DB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C9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F1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25,50%</w:t>
            </w:r>
          </w:p>
        </w:tc>
      </w:tr>
      <w:tr w:rsidR="009812D9" w:rsidRPr="007D42F2" w14:paraId="1AABA97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C44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3DB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4264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8D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proizvedena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BA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79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74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6.375,00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5F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32995B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92088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F42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00225 GOSPODARSTVO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C4A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8F5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62.598,90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20C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138D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94,01%</w:t>
            </w:r>
          </w:p>
        </w:tc>
      </w:tr>
      <w:tr w:rsidR="009812D9" w:rsidRPr="007D42F2" w14:paraId="2AE486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24C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73A7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ADA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73.250,00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EF5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5F0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FFF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1F849F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79E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DFA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CFB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73.250,00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840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FC1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E93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D5A1FC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AF2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354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9E9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87D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22.598,90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39E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6DA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83,41%</w:t>
            </w:r>
          </w:p>
        </w:tc>
      </w:tr>
      <w:tr w:rsidR="009812D9" w:rsidRPr="007D42F2" w14:paraId="66BFFB9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2C3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7CE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35A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E60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D6A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D59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7E4238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393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0AA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0B2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12E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1A6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A6C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00FBC4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32F82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661C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568C4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JAČANJE GOSPODARSTVA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5169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5C37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62.598,90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C717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E25C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94,01%</w:t>
            </w:r>
          </w:p>
        </w:tc>
      </w:tr>
      <w:tr w:rsidR="009812D9" w:rsidRPr="007D42F2" w14:paraId="1C2981F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5ED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39A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1B8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Potpore poduzetništvu - pokretanje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166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25B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22B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B72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2027D2D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E6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E588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775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757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E4C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B26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08E07FA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0A7F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9C1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A3E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C15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3A4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612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40B34B4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03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E46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A06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9C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1C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A0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DF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E4884C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B623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2E0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000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2. stočarski sajam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E56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725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993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116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47FCD4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9E69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0CA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B38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B36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BB2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810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42890A6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310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66A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3AC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2F2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1D0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536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6FA2F71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5A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351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95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60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DF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60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BE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C85C8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ED5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336C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823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5A7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682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9F2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594CB5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638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147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E23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803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418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6A1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36D36C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18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55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E86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46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23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2C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38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207AF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C1E1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BBE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B084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Formiranje gospodarske zone "Berek"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88B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B81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58.848,90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DEC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25A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8F7D5C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A85D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E54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18F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DCE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407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664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F65305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143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D05A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E9B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53F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AFD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531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C3CE89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28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7D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AD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5E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88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D6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1D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A95E42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95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06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2A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3E4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EE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D4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88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09AE3F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F87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1108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4D7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0A1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1E5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6EC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575E76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8B03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CB88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09D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21A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CFC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31A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E54DC3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48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F6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29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C7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FD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D9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EC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5E2F0B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E3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18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6D6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B1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29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B1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18.848,90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08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ABA390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8E2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52B8C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00230 SPORT I REKREACIJA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8679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960.701,36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02A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1.077.671,13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DC33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821.599,22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AC8D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76,24%</w:t>
            </w:r>
          </w:p>
        </w:tc>
      </w:tr>
      <w:tr w:rsidR="009812D9" w:rsidRPr="007D42F2" w14:paraId="5FB2BA4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9D43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F68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675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422.200,00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419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438.893,48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574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456.202,32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319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103,94%</w:t>
            </w:r>
          </w:p>
        </w:tc>
      </w:tr>
      <w:tr w:rsidR="009812D9" w:rsidRPr="007D42F2" w14:paraId="00D9C46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0BC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93A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35B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422.200,00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8E9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438.893,48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AA1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456.202,32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79A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103,94%</w:t>
            </w:r>
          </w:p>
        </w:tc>
      </w:tr>
      <w:tr w:rsidR="009812D9" w:rsidRPr="007D42F2" w14:paraId="50FDB0F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00B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C62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398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538.501,36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E16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94.518,75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A057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365.396,90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01B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386,59%</w:t>
            </w:r>
          </w:p>
        </w:tc>
      </w:tr>
      <w:tr w:rsidR="009812D9" w:rsidRPr="007D42F2" w14:paraId="1B2A11A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BC7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13D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026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538.501,36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E92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94.518,75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D5B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365.396,90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78B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386,59%</w:t>
            </w:r>
          </w:p>
        </w:tc>
      </w:tr>
      <w:tr w:rsidR="009812D9" w:rsidRPr="007D42F2" w14:paraId="1850B18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12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216C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FB1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878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544.258,90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2F2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9A6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F95C3F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87F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D9F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C9E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EA9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544.258,90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349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58F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60E704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8B34E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78F3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1247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RAZVOJ SPORTA I REKREACIJE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59F8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960.701,36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AFEB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1.077.671,13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DBFF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821.599,22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EC23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76,24%</w:t>
            </w:r>
          </w:p>
        </w:tc>
      </w:tr>
      <w:tr w:rsidR="009812D9" w:rsidRPr="007D42F2" w14:paraId="5B3C247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73C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9FD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4C1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Redovna djelatnost Sportske zajednice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31D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114.400,00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209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668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376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6F36A0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F60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A452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B7B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114.400,00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470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D5B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D59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22B62C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8270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D00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025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114.400,00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1D9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C2F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471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9DA455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67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B7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75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A0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114.400,00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26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6B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77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DA323E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54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65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BFF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562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F3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8E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133.093,48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2D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044158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594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7CA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272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Naknade za ostvarene sportske rezultate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B19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886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46A4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DCB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D9DE07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AF9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5BC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587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BF8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9CD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E92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366245F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A46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E5DC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19D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30B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44B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FFB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D2B5D4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9D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59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F9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3F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AE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2E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F57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96E894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6231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E03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86B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Održavanje objekata i terena NK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B16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CB2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10.725,00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F46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20.671,34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807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192,74%</w:t>
            </w:r>
          </w:p>
        </w:tc>
      </w:tr>
      <w:tr w:rsidR="009812D9" w:rsidRPr="007D42F2" w14:paraId="5218D3C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611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C2E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172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B87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D77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20.671,34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DE7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645,98%</w:t>
            </w:r>
          </w:p>
        </w:tc>
      </w:tr>
      <w:tr w:rsidR="009812D9" w:rsidRPr="007D42F2" w14:paraId="4205551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042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E471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B5C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59A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9C9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20.671,34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6DE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645,98%</w:t>
            </w:r>
          </w:p>
        </w:tc>
      </w:tr>
      <w:tr w:rsidR="009812D9" w:rsidRPr="007D42F2" w14:paraId="796AB2A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1D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C9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B8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D87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D9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75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20.671,34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81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645,98%</w:t>
            </w:r>
          </w:p>
        </w:tc>
      </w:tr>
      <w:tr w:rsidR="009812D9" w:rsidRPr="007D42F2" w14:paraId="0CE6C64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4C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00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86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5C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69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40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8.157,40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7E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D51C6E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07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1B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BF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D2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2B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8A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12.513,94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03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8B5E7B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77F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902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A65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6A9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8D9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EE3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A50036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84D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89DA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58F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833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43D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AAB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09C3AC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FA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8B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49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CD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21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E1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4C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77CB6C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86E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620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F9C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Bušenje arteškog bunara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97C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287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009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893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0FD0CD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C22E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36CA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D1F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279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342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8B7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709634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193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107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872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073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B74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2A9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A42440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8D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CB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6B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A0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D1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D7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0E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886361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2E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D3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87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713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5C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97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38.156,25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AD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49DD7C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6C9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F30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D64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NK Dubrava - rekonstrukcija i opremanje vanjskog terena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CAA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577.569,20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7C8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577.569,20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D2F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444.263,22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EA5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76,92%</w:t>
            </w:r>
          </w:p>
        </w:tc>
      </w:tr>
      <w:tr w:rsidR="009812D9" w:rsidRPr="007D42F2" w14:paraId="5AA8770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AFB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414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A91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DC8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3A1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E71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F0B481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C660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3AD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365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8F1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647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446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A26F86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04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F50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B9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81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68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C9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9A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CB395E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F1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72D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FA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24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FD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99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300.000,00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8A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B731AD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A28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11D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416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277.569,20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283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CA0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144.263,22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7A0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812395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96B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FD5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072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277.569,20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39E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22F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144.263,22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932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4CC422E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F0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00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B1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20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277.569,20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D5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E5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144.263,22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B1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728224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C4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4E4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3C0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A5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88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23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144.263,22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58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136734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6DA9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D08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85C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FD8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277.569,20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D23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EA5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3D0C71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142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80F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648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808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277.569,20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C71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DF4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D8DAFA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F4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44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1B3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46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0D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277.569,20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92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CA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19D28E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8431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3278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FE27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Ugradnja sustava navodnjavanja nogometnog terena NK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F14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262.932,16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0C1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317.527,20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25E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185.414,93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34F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58,39%</w:t>
            </w:r>
          </w:p>
        </w:tc>
      </w:tr>
      <w:tr w:rsidR="009812D9" w:rsidRPr="007D42F2" w14:paraId="0586AA8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6E4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0D5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843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8B1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275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2.437,50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0DA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121,88%</w:t>
            </w:r>
          </w:p>
        </w:tc>
      </w:tr>
      <w:tr w:rsidR="009812D9" w:rsidRPr="007D42F2" w14:paraId="6F7EC40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80CF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5AA4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35E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AB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567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2.437,50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A83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121,88%</w:t>
            </w:r>
          </w:p>
        </w:tc>
      </w:tr>
      <w:tr w:rsidR="009812D9" w:rsidRPr="007D42F2" w14:paraId="48D213A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20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2F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8F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DE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22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32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2.437,50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72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121,88%</w:t>
            </w:r>
          </w:p>
        </w:tc>
      </w:tr>
      <w:tr w:rsidR="009812D9" w:rsidRPr="007D42F2" w14:paraId="052D2AC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A6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57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4126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52C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6C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79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23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2.437,50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43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7A47F1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F36A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0E2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B05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260.932,16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7B6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48.837,50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2C3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182.977,43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85F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374,67%</w:t>
            </w:r>
          </w:p>
        </w:tc>
      </w:tr>
      <w:tr w:rsidR="009812D9" w:rsidRPr="007D42F2" w14:paraId="15E8838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C11C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2241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FF7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260.932,16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5CA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48.837,50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F1F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182.977,43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3B5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374,67%</w:t>
            </w:r>
          </w:p>
        </w:tc>
      </w:tr>
      <w:tr w:rsidR="009812D9" w:rsidRPr="007D42F2" w14:paraId="7584789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67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84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4B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CD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80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2.437,50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96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B4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497,44%</w:t>
            </w:r>
          </w:p>
        </w:tc>
      </w:tr>
      <w:tr w:rsidR="009812D9" w:rsidRPr="007D42F2" w14:paraId="3208EB9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5D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27C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4126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F5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16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4E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06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12.125,00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92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EE61B5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49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328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9E9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AA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260.932,16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02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46.400,00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E4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170.852,43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10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368,22%</w:t>
            </w:r>
          </w:p>
        </w:tc>
      </w:tr>
      <w:tr w:rsidR="009812D9" w:rsidRPr="007D42F2" w14:paraId="6D11377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42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194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58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0C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C2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A1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170.852,43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3D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D3CA94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AF2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AEF1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429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B67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266.689,70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E6E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FA8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175BA4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7AA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C193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080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0B6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266.689,70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8BE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A4C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768C46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EB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634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50E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D3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71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266.689,70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4D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FF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DA6E20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3CA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E59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00235 KULTURA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E03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149.300,00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99AD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148.688,86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248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149.739,76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8789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100,71%</w:t>
            </w:r>
          </w:p>
        </w:tc>
      </w:tr>
      <w:tr w:rsidR="009812D9" w:rsidRPr="007D42F2" w14:paraId="4D97383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A5D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E00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8C1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94E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143.688,86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7C2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144.739,76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3DE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100,73%</w:t>
            </w:r>
          </w:p>
        </w:tc>
      </w:tr>
      <w:tr w:rsidR="009812D9" w:rsidRPr="007D42F2" w14:paraId="0EABAEE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546D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C69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384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0A0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143.688,86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F94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144.739,76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3C7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100,73%</w:t>
            </w:r>
          </w:p>
        </w:tc>
      </w:tr>
      <w:tr w:rsidR="009812D9" w:rsidRPr="007D42F2" w14:paraId="508E411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232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4D7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AD2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D58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F2B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913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A90F48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4E3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6C4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C1A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1FE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F86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6DB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BC8E2D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01FDE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75F0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9E85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KULTURNO PROMICANJE OPĆINE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78F2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149.300,00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0BBF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148.688,86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C99E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149.739,76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DFA4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100,71%</w:t>
            </w:r>
          </w:p>
        </w:tc>
      </w:tr>
      <w:tr w:rsidR="009812D9" w:rsidRPr="007D42F2" w14:paraId="0A53DD8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3FC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E044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68E3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Obilježavanje Uskršnjih događanja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A31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3.150,00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BFA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8C6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523,24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B5F4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139,27%</w:t>
            </w:r>
          </w:p>
        </w:tc>
      </w:tr>
      <w:tr w:rsidR="009812D9" w:rsidRPr="007D42F2" w14:paraId="6E894A2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61B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3EB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2CE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3.150,00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56C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1D2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523,24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6C2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139,27%</w:t>
            </w:r>
          </w:p>
        </w:tc>
      </w:tr>
      <w:tr w:rsidR="009812D9" w:rsidRPr="007D42F2" w14:paraId="5A28654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ECB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763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115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3.150,00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095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3F9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523,24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F10E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139,27%</w:t>
            </w:r>
          </w:p>
        </w:tc>
      </w:tr>
      <w:tr w:rsidR="009812D9" w:rsidRPr="007D42F2" w14:paraId="0D5741C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3C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17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A2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69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D4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67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523,24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12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139,27%</w:t>
            </w:r>
          </w:p>
        </w:tc>
      </w:tr>
      <w:tr w:rsidR="009812D9" w:rsidRPr="007D42F2" w14:paraId="4949951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58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54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1BD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63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AE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FE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142,73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CC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7659D6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78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348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23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9D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A7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CC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232,96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2A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EE391C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8F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BCB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20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50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8F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C2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147,55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16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97752C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0B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4C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7A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B4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47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BC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8E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F2732C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033C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F37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BA9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Obilježavanje Božićnih događanja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251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3A1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7.274,31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034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8.177,66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C4F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112,42%</w:t>
            </w:r>
          </w:p>
        </w:tc>
      </w:tr>
      <w:tr w:rsidR="009812D9" w:rsidRPr="007D42F2" w14:paraId="3F8D11A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452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8919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696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06A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7.274,31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0A84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8.177,66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37D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112,42%</w:t>
            </w:r>
          </w:p>
        </w:tc>
      </w:tr>
      <w:tr w:rsidR="009812D9" w:rsidRPr="007D42F2" w14:paraId="0B483E8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B2EC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E4C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8C96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329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7.274,31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F2B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8.177,66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AF8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112,42%</w:t>
            </w:r>
          </w:p>
        </w:tc>
      </w:tr>
      <w:tr w:rsidR="009812D9" w:rsidRPr="007D42F2" w14:paraId="69CE2FB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50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816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C0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79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BF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7.274,31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AB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8.177,66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C7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112,42%</w:t>
            </w:r>
          </w:p>
        </w:tc>
      </w:tr>
      <w:tr w:rsidR="009812D9" w:rsidRPr="007D42F2" w14:paraId="4DB01A9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A2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78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144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64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82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01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3.175,08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D0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E03FE2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84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0D7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EC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E21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65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24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5.002,58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07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B11960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A26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CA6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B60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Obilježavanje Praznika rada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040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880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18B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FBF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9E6EBF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638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877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2B5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DCB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F94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641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C86136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8739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785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7E5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1F4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FAC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D20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420F5B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F2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CF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D02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77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16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50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1.243,49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60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E46D1D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87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B80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54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3D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FB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25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229,50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76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E6C178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15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7B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CD2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F6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7D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78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1.013,99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59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99DDDD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F2C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476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8A1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DubravaFest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045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0C9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139.795,37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255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139.795,37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60A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504E41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486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07C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42F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D08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134.795,37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53B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134.795,37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280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370A07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ECC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5406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54C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FA9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134.795,37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526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134.795,37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549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5167A4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0F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81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2B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90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47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134.795,37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DB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134.795,37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36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1A18FF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65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02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77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3AB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9D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7C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3.814,60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64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447F0D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3A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A5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A2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14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BA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2D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2.882,13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53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B1BC1D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9D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93C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EF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4E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9C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AB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283,04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D6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E45855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BD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0F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00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43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7C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56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91.650,00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A3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96D39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A7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A40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7A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79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BA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73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34.910,34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F5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80A363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6B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BFF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61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F31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B6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73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1.255,26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77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119DC4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F2B7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FF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0C1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CB7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70E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2D3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F7B23B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366E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F9C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3CE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A0F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5C4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C44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A8915A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66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4F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133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F1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61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93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6B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612125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A0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AE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FE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F1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C1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2B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7D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C9204A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57C7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862B3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00240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33DC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134.250,00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100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153.283,57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A9F5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123.600,58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4F12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80,64%</w:t>
            </w:r>
          </w:p>
        </w:tc>
      </w:tr>
      <w:tr w:rsidR="009812D9" w:rsidRPr="007D42F2" w14:paraId="0348256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9C9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B86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8CD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104.250,00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16F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123.283,57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66E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123.600,58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352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100,26%</w:t>
            </w:r>
          </w:p>
        </w:tc>
      </w:tr>
      <w:tr w:rsidR="009812D9" w:rsidRPr="007D42F2" w14:paraId="7A59F94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F3E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25D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81C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104.250,00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ACA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123.283,57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C63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123.600,58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437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100,26%</w:t>
            </w:r>
          </w:p>
        </w:tc>
      </w:tr>
      <w:tr w:rsidR="009812D9" w:rsidRPr="007D42F2" w14:paraId="0B0DF6F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E54B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5DF6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85F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990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9CD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B8C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6BF3C2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725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401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4B2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B84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1D5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C2E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AF11E9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73BB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F959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F336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PROGRAMI POTPORA U OBRAZOVANJU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74C4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39.600,00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9ED7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CFFB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10.777,45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0124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25,63%</w:t>
            </w:r>
          </w:p>
        </w:tc>
      </w:tr>
      <w:tr w:rsidR="009812D9" w:rsidRPr="007D42F2" w14:paraId="503A515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F3F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6D7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60E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Blagdanski darovi djeci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8B5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8E4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17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4.027,45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6A5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80,55%</w:t>
            </w:r>
          </w:p>
        </w:tc>
      </w:tr>
      <w:tr w:rsidR="009812D9" w:rsidRPr="007D42F2" w14:paraId="51587A7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044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5F19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2EA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9E2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899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4.027,45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EE6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80,55%</w:t>
            </w:r>
          </w:p>
        </w:tc>
      </w:tr>
      <w:tr w:rsidR="009812D9" w:rsidRPr="007D42F2" w14:paraId="16E02D7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02D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E5B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4E0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ABC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AED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4.027,45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3A0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80,55%</w:t>
            </w:r>
          </w:p>
        </w:tc>
      </w:tr>
      <w:tr w:rsidR="009812D9" w:rsidRPr="007D42F2" w14:paraId="660B16A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1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CF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AA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ED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CB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FB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4.027,45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9D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80,55%</w:t>
            </w:r>
          </w:p>
        </w:tc>
      </w:tr>
      <w:tr w:rsidR="009812D9" w:rsidRPr="007D42F2" w14:paraId="4A1E5F1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90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99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A2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01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7D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59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4.027,45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02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5E24CA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3F0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3AF4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704C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škole plivanja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E96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E77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8F9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1E2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24BF8C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3B7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9F38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F93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598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5A7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738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559E39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39B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503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6DE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E02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343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4D6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0781C0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6D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EFF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6D1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DD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AE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FC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EE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F87460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B6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AA9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3512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C8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Subvencije trgovačkim društvima u javnom sektoru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69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36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41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6.750,00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00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AD1375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5764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04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523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Nagrade za ostvarene rezultate na školskim natjecanjima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ED8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50F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D65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A1C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7DC7F3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5E5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A47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266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FAB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502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270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3090302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93F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1B4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601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48E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B23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392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36760C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02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B4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6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F6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6A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7D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4A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AF9717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974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C54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B306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Edukativne, kulturne i sportske aktivnosti djece predškolske dobi i od 1.-4. razreda OŠ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B8D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950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BF3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44E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1B0EE7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3C81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FE1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F13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B9D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C5E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A26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3ED160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A5A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0DE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DBDC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6CB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03E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7DD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F592B9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67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337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6C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43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13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6E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57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98D651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EA0FC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6D30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D816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D18E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4F69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985D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4198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8962A0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C532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E44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6B3C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opskrbnina izvan DV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C76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880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C2A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B2A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0CC080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73EC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0829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F49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542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740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074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2DD1BA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BB3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03F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51A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A12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207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A36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D41014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0E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FB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2C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C5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02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B6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53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F0368C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1C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B2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3661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6B7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3E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A3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47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17.232,32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BA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06A27C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D79F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03E3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41AC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OSNOVNOŠKOLSKO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8B40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3235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29.801,25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436A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29.249,99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66D7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98,15%</w:t>
            </w:r>
          </w:p>
        </w:tc>
      </w:tr>
      <w:tr w:rsidR="009812D9" w:rsidRPr="007D42F2" w14:paraId="7A1D806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5E3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8166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12E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radnih bilježnica i materijala učenicima osnovne škole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3B2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CE3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23.801,25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047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23.798,51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181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99,99%</w:t>
            </w:r>
          </w:p>
        </w:tc>
      </w:tr>
      <w:tr w:rsidR="009812D9" w:rsidRPr="007D42F2" w14:paraId="5676874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384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551E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416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202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23.801,25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6F9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23.798,51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0B9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99,99%</w:t>
            </w:r>
          </w:p>
        </w:tc>
      </w:tr>
      <w:tr w:rsidR="009812D9" w:rsidRPr="007D42F2" w14:paraId="03FCACE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F86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91D4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4F0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B0D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23.801,25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FDA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23.798,51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09F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99,99%</w:t>
            </w:r>
          </w:p>
        </w:tc>
      </w:tr>
      <w:tr w:rsidR="009812D9" w:rsidRPr="007D42F2" w14:paraId="0D0489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66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5F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64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6F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36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23.801,25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6C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23.798,51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8C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99,99%</w:t>
            </w:r>
          </w:p>
        </w:tc>
      </w:tr>
      <w:tr w:rsidR="009812D9" w:rsidRPr="007D42F2" w14:paraId="6A1D35B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64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6B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3661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B7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52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5B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5C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23.798,51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0F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8C4215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28E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AB9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1498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izvanškolskih aktivnosti - Škola klizanja i Mali tamburaši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DD4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07A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7A3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5.451,48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8E5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90,86%</w:t>
            </w:r>
          </w:p>
        </w:tc>
      </w:tr>
      <w:tr w:rsidR="009812D9" w:rsidRPr="007D42F2" w14:paraId="6E98569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EFD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9AF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E35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4F7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8E4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5.451,48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89D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90,86%</w:t>
            </w:r>
          </w:p>
        </w:tc>
      </w:tr>
      <w:tr w:rsidR="009812D9" w:rsidRPr="007D42F2" w14:paraId="7176CD9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EA5D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BF70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F9E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F5D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105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5.451,48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2A4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90,86%</w:t>
            </w:r>
          </w:p>
        </w:tc>
      </w:tr>
      <w:tr w:rsidR="009812D9" w:rsidRPr="007D42F2" w14:paraId="53A1EEA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98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94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B18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7A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A2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57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5.451,48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C7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90,86%</w:t>
            </w:r>
          </w:p>
        </w:tc>
      </w:tr>
      <w:tr w:rsidR="009812D9" w:rsidRPr="007D42F2" w14:paraId="60ECD11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67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94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3661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7ED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2E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5B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19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5.451,48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0D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6E41EB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1E49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E6696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6710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SREDNJOŠKOLSKO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E194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034C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A168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44.940,82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36F8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104,51%</w:t>
            </w:r>
          </w:p>
        </w:tc>
      </w:tr>
      <w:tr w:rsidR="009812D9" w:rsidRPr="007D42F2" w14:paraId="7DFD566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B65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154C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E7D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prijevoza učenika srednjih škola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E33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A62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59E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20.180,82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571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100,90%</w:t>
            </w:r>
          </w:p>
        </w:tc>
      </w:tr>
      <w:tr w:rsidR="009812D9" w:rsidRPr="007D42F2" w14:paraId="748A715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81B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29A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F7C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C30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FC4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20.180,82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8DE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100,90%</w:t>
            </w:r>
          </w:p>
        </w:tc>
      </w:tr>
      <w:tr w:rsidR="009812D9" w:rsidRPr="007D42F2" w14:paraId="101DED6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A10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CF96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7F9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A10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5F8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20.180,82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9ED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100,90%</w:t>
            </w:r>
          </w:p>
        </w:tc>
      </w:tr>
      <w:tr w:rsidR="009812D9" w:rsidRPr="007D42F2" w14:paraId="4AA5A65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AE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A6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49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80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27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E1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20.180,82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0D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100,90%</w:t>
            </w:r>
          </w:p>
        </w:tc>
      </w:tr>
      <w:tr w:rsidR="009812D9" w:rsidRPr="007D42F2" w14:paraId="0A815E9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69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0D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4D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25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80A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87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20.180,82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2F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64BD52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6CC4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893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EDEF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učeničkih domova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DC5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EBE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98D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14.820,00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313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114,00%</w:t>
            </w:r>
          </w:p>
        </w:tc>
      </w:tr>
      <w:tr w:rsidR="009812D9" w:rsidRPr="007D42F2" w14:paraId="699F1E5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CC2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E2FA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6C6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341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34B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14.820,00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2A2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114,00%</w:t>
            </w:r>
          </w:p>
        </w:tc>
      </w:tr>
      <w:tr w:rsidR="009812D9" w:rsidRPr="007D42F2" w14:paraId="1CE4ABD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B43C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3D2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AF4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051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3D6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14.820,00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6D1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114,00%</w:t>
            </w:r>
          </w:p>
        </w:tc>
      </w:tr>
      <w:tr w:rsidR="009812D9" w:rsidRPr="007D42F2" w14:paraId="454264C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F9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C4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9F3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FB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4A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E4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14.820,00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BE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114,00%</w:t>
            </w:r>
          </w:p>
        </w:tc>
      </w:tr>
      <w:tr w:rsidR="009812D9" w:rsidRPr="007D42F2" w14:paraId="3566636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F7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D9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3661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88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842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FB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F2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14.820,00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59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0A5998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110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3CEE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5276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Božićnice za srednjoškolce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51F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10C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CE8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9.940,00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31B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99,40%</w:t>
            </w:r>
          </w:p>
        </w:tc>
      </w:tr>
      <w:tr w:rsidR="009812D9" w:rsidRPr="007D42F2" w14:paraId="71A592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EF1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493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2C2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D89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032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9.940,00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01D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99,40%</w:t>
            </w:r>
          </w:p>
        </w:tc>
      </w:tr>
      <w:tr w:rsidR="009812D9" w:rsidRPr="007D42F2" w14:paraId="483B1B1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9D5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C5E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1DC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581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7C9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9.940,00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F89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99,40%</w:t>
            </w:r>
          </w:p>
        </w:tc>
      </w:tr>
      <w:tr w:rsidR="009812D9" w:rsidRPr="007D42F2" w14:paraId="49FB422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EB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90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FC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83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17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6A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9.940,00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2E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99,40%</w:t>
            </w:r>
          </w:p>
        </w:tc>
      </w:tr>
      <w:tr w:rsidR="009812D9" w:rsidRPr="007D42F2" w14:paraId="5DF4F5D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D8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B3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D3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05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4CD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00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9.940,00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20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70F19D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87AF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766A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DDAD5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VISOKO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4ECE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53CD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0BF7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27F5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100,94%</w:t>
            </w:r>
          </w:p>
        </w:tc>
      </w:tr>
      <w:tr w:rsidR="009812D9" w:rsidRPr="007D42F2" w14:paraId="546CB6E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F13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324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87D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Naknade studentima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26A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CAC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BE0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865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100,94%</w:t>
            </w:r>
          </w:p>
        </w:tc>
      </w:tr>
      <w:tr w:rsidR="009812D9" w:rsidRPr="007D42F2" w14:paraId="1CB6B25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280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16F9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285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1344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EF3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174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100,94%</w:t>
            </w:r>
          </w:p>
        </w:tc>
      </w:tr>
      <w:tr w:rsidR="009812D9" w:rsidRPr="007D42F2" w14:paraId="36740F8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498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24CB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4D0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20D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2D8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9D3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100,94%</w:t>
            </w:r>
          </w:p>
        </w:tc>
      </w:tr>
      <w:tr w:rsidR="009812D9" w:rsidRPr="007D42F2" w14:paraId="7C3956C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48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8EC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E4A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AB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C0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7D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23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100,94%</w:t>
            </w:r>
          </w:p>
        </w:tc>
      </w:tr>
      <w:tr w:rsidR="009812D9" w:rsidRPr="007D42F2" w14:paraId="68278C9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03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79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AB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59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051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A5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21.400,00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ED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6CFC57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48CD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0C08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00245 SOCIJALNA SKRB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352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6C9A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304.108,21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74AC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319.777,95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871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105,15%</w:t>
            </w:r>
          </w:p>
        </w:tc>
      </w:tr>
      <w:tr w:rsidR="009812D9" w:rsidRPr="007D42F2" w14:paraId="0313937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61DA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C39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5E4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73A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304.108,21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A09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287.695,32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E7C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94,60%</w:t>
            </w:r>
          </w:p>
        </w:tc>
      </w:tr>
      <w:tr w:rsidR="009812D9" w:rsidRPr="007D42F2" w14:paraId="5611572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D92A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0CB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E22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233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304.108,21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C9C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287.695,32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B6B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94,60%</w:t>
            </w:r>
          </w:p>
        </w:tc>
      </w:tr>
      <w:tr w:rsidR="009812D9" w:rsidRPr="007D42F2" w14:paraId="09A42C7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91A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20EF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475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E13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7B8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32.082,63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582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FDB01F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9E9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F30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8CD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EF8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56C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32.082,63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673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3BCD1D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E79F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D8F6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7FAA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ZAŠTITA, OČUVANJE I UNAPREĐENJE ZDRAVLJA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BDB1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3DCF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3E3B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5.028,30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7EC7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71,83%</w:t>
            </w:r>
          </w:p>
        </w:tc>
      </w:tr>
      <w:tr w:rsidR="009812D9" w:rsidRPr="007D42F2" w14:paraId="707ED77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BE0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556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341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Financiranje pokojnika sumnjive smrti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CA8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497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385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5.028,30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0DD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71,83%</w:t>
            </w:r>
          </w:p>
        </w:tc>
      </w:tr>
      <w:tr w:rsidR="009812D9" w:rsidRPr="007D42F2" w14:paraId="2F97925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C81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3A2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574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244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5849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5.028,30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DAB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71,83%</w:t>
            </w:r>
          </w:p>
        </w:tc>
      </w:tr>
      <w:tr w:rsidR="009812D9" w:rsidRPr="007D42F2" w14:paraId="452D50A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53F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F2D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433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896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D83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5.028,30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4116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71,83%</w:t>
            </w:r>
          </w:p>
        </w:tc>
      </w:tr>
      <w:tr w:rsidR="009812D9" w:rsidRPr="007D42F2" w14:paraId="7787789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BA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DFF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59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C1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C0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36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5.028,30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45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71,83%</w:t>
            </w:r>
          </w:p>
        </w:tc>
      </w:tr>
      <w:tr w:rsidR="009812D9" w:rsidRPr="007D42F2" w14:paraId="3E87DD1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90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EE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3661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40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08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8A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4B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5.028,30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AC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35614A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39F2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182F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EF95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SOCIJALNA SKRB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3721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1C0A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297.108,21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D77F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314.749,65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3091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105,94%</w:t>
            </w:r>
          </w:p>
        </w:tc>
      </w:tr>
      <w:tr w:rsidR="009812D9" w:rsidRPr="007D42F2" w14:paraId="2FA1F34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41B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8F6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4B4C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Provođenje natalitetnih mjera kroz pomoći majkama rodiljama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87E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89C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6DE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39.900,00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289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79,80%</w:t>
            </w:r>
          </w:p>
        </w:tc>
      </w:tr>
      <w:tr w:rsidR="009812D9" w:rsidRPr="007D42F2" w14:paraId="2EB0810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DD2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E4DD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DBC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784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B9B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39.900,00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9E4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79,80%</w:t>
            </w:r>
          </w:p>
        </w:tc>
      </w:tr>
      <w:tr w:rsidR="009812D9" w:rsidRPr="007D42F2" w14:paraId="766EF82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1C8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F28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FB2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1A6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426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39.900,00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294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79,80%</w:t>
            </w:r>
          </w:p>
        </w:tc>
      </w:tr>
      <w:tr w:rsidR="009812D9" w:rsidRPr="007D42F2" w14:paraId="3B04B3E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F6A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B3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09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E0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C0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0C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39.900,00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01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79,80%</w:t>
            </w:r>
          </w:p>
        </w:tc>
      </w:tr>
      <w:tr w:rsidR="009812D9" w:rsidRPr="007D42F2" w14:paraId="153C632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2C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18C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0FC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B5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E9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80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39.900,00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1E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31F726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4116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D69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2F0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Troškovi stanovanja socijalno ugroženih osoba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64E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C2B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B37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07D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4BA707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4BC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7EC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323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5C5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441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5FB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3DC6AEB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95B1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8AE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4F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85F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734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C05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7D4C74B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1B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EF3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37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62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A6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4B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44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42784C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74E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C146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6E4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Briga o socijalno ugroženim osobama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511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B35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AAF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25.345,31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D4A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87,40%</w:t>
            </w:r>
          </w:p>
        </w:tc>
      </w:tr>
      <w:tr w:rsidR="009812D9" w:rsidRPr="007D42F2" w14:paraId="590D0D8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E5B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466D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A0E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4D6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817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25.345,31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D4B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87,40%</w:t>
            </w:r>
          </w:p>
        </w:tc>
      </w:tr>
      <w:tr w:rsidR="009812D9" w:rsidRPr="007D42F2" w14:paraId="7E30E1C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DD5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262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CBD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819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8EA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25.345,31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A66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87,40%</w:t>
            </w:r>
          </w:p>
        </w:tc>
      </w:tr>
      <w:tr w:rsidR="009812D9" w:rsidRPr="007D42F2" w14:paraId="0F8FDA8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18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798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31A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50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CD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58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25.345,31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07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87,40%</w:t>
            </w:r>
          </w:p>
        </w:tc>
      </w:tr>
      <w:tr w:rsidR="009812D9" w:rsidRPr="007D42F2" w14:paraId="5219507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31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691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523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787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7C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52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3.132,41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37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F3A1B0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85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30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68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907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C9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E9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22.212,90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2A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1DF6DC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BC8C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2C0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A72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Stambeno zbrinjavanje branitelja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77B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7CD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B01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0C3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ECCF49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34AF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030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232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695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20C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C50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244EDF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1073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E0A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40B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006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DAC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C18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81817D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2C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B39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C0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AE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13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9E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0B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E72495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7EEA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B11B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3C1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Briga o starijim osobama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7BB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9E2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FF0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126.450,00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AA2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100,28%</w:t>
            </w:r>
          </w:p>
        </w:tc>
      </w:tr>
      <w:tr w:rsidR="009812D9" w:rsidRPr="007D42F2" w14:paraId="478F2B8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43A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134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829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EFC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B64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126.450,00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39B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100,28%</w:t>
            </w:r>
          </w:p>
        </w:tc>
      </w:tr>
      <w:tr w:rsidR="009812D9" w:rsidRPr="007D42F2" w14:paraId="2917790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575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E02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8E8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FF6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0FC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126.450,00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645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100,28%</w:t>
            </w:r>
          </w:p>
        </w:tc>
      </w:tr>
      <w:tr w:rsidR="009812D9" w:rsidRPr="007D42F2" w14:paraId="6DCF5CE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39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ED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550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D4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BC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BE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126.450,00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27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100,28%</w:t>
            </w:r>
          </w:p>
        </w:tc>
      </w:tr>
      <w:tr w:rsidR="009812D9" w:rsidRPr="007D42F2" w14:paraId="08462C3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B9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CAB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0C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D0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20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E0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126.450,00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5E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5C83D0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C17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F30B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CCFC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Potpora prve nekretnine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C8D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CE0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D60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111.090,84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10E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140,61%</w:t>
            </w:r>
          </w:p>
        </w:tc>
      </w:tr>
      <w:tr w:rsidR="009812D9" w:rsidRPr="007D42F2" w14:paraId="1124066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8FA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0F1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814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D3C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235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659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62E496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618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4750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A2E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CEE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9F3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2A7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E9CA93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CA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8BE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8F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F4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5B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86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15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E137A8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3C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AA8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BD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B3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EA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94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79.008,21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A4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052325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120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21DB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9ED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133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F69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32.082,63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E05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8753D5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200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676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04C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00B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7C4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32.082,63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CA5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641FC7B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57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88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71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C86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C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C2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32.082,63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85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F56B2C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7A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562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02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C9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2D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C7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32.082,63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F9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CA8853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63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4612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103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fizioterapeutskih vježbi, logopedskih tretmana i tretmana radnog terapeuta za djecu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E94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584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EA1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10.426,00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B88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104,26%</w:t>
            </w:r>
          </w:p>
        </w:tc>
      </w:tr>
      <w:tr w:rsidR="009812D9" w:rsidRPr="007D42F2" w14:paraId="13F3F15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A387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4DF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6B3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FC0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813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10.426,00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899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104,26%</w:t>
            </w:r>
          </w:p>
        </w:tc>
      </w:tr>
      <w:tr w:rsidR="009812D9" w:rsidRPr="007D42F2" w14:paraId="107655E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EC71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781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329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EA8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880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10.426,00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FE6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104,26%</w:t>
            </w:r>
          </w:p>
        </w:tc>
      </w:tr>
      <w:tr w:rsidR="009812D9" w:rsidRPr="007D42F2" w14:paraId="20047E0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6F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5A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41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8A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9C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23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10.426,00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52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104,26%</w:t>
            </w:r>
          </w:p>
        </w:tc>
      </w:tr>
      <w:tr w:rsidR="009812D9" w:rsidRPr="007D42F2" w14:paraId="23909F4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C3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D5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FE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67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18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61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10.426,00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FD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728B16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C6D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D91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03B3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Sufinanciranje grobnih mjesta braniteljima i socijalnim slučajevima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B9C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90B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D3F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334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76,88%</w:t>
            </w:r>
          </w:p>
        </w:tc>
      </w:tr>
      <w:tr w:rsidR="009812D9" w:rsidRPr="007D42F2" w14:paraId="4A2AAEB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A85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7F0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7D6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A7E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39C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1.537,50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5D14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76,88%</w:t>
            </w:r>
          </w:p>
        </w:tc>
      </w:tr>
      <w:tr w:rsidR="009812D9" w:rsidRPr="007D42F2" w14:paraId="11F3891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D15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CA9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9F0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C0E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D1D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1.537,50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FD3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76,88%</w:t>
            </w:r>
          </w:p>
        </w:tc>
      </w:tr>
      <w:tr w:rsidR="009812D9" w:rsidRPr="007D42F2" w14:paraId="2A970FF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1E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3E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AE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C2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96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A3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A2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76,88%</w:t>
            </w:r>
          </w:p>
        </w:tc>
      </w:tr>
      <w:tr w:rsidR="009812D9" w:rsidRPr="007D42F2" w14:paraId="225E62F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16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6D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98D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04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B9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28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1.537,50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45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065BE5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076C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3C1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00250 ZAŠTITA I SPAŠAVANJE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42C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116.900,00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BA3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128.791,92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A79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131.167,02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65AB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101,84%</w:t>
            </w:r>
          </w:p>
        </w:tc>
      </w:tr>
      <w:tr w:rsidR="009812D9" w:rsidRPr="007D42F2" w14:paraId="246825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3B7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3819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E97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116.900,00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FA4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128.791,92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D15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131.167,02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85A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101,84%</w:t>
            </w:r>
          </w:p>
        </w:tc>
      </w:tr>
      <w:tr w:rsidR="009812D9" w:rsidRPr="007D42F2" w14:paraId="4785473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9467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22C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1B8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116.900,00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D55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128.791,92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F7C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131.167,02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B771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101,84%</w:t>
            </w:r>
          </w:p>
        </w:tc>
      </w:tr>
      <w:tr w:rsidR="009812D9" w:rsidRPr="007D42F2" w14:paraId="32E8A6B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0AAF5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F6C2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9FE7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OSIGURANJE I PROVOĐENJE ZAŠTITE I SPAŠAVANJA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7803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116.900,00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21AF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128.791,92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56A80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131.167,02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77F4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101,84%</w:t>
            </w:r>
          </w:p>
        </w:tc>
      </w:tr>
      <w:tr w:rsidR="009812D9" w:rsidRPr="007D42F2" w14:paraId="2CCB2FE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02E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74F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1D3B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Redovan rad Vatrogasne zajednice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4BD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6CC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66.400,00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CFB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66.660,00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722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100,39%</w:t>
            </w:r>
          </w:p>
        </w:tc>
      </w:tr>
      <w:tr w:rsidR="009812D9" w:rsidRPr="007D42F2" w14:paraId="3F3E645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A7D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B90E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2A5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48A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66.400,00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896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66.660,00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865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100,39%</w:t>
            </w:r>
          </w:p>
        </w:tc>
      </w:tr>
      <w:tr w:rsidR="009812D9" w:rsidRPr="007D42F2" w14:paraId="3ED05AE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C3B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5FA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9FF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69B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66.400,00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AB6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66.660,00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761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100,39%</w:t>
            </w:r>
          </w:p>
        </w:tc>
      </w:tr>
      <w:tr w:rsidR="009812D9" w:rsidRPr="007D42F2" w14:paraId="714D26F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0E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320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5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5DE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65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2B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2.160,00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74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113,68%</w:t>
            </w:r>
          </w:p>
        </w:tc>
      </w:tr>
      <w:tr w:rsidR="009812D9" w:rsidRPr="007D42F2" w14:paraId="1E414C5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9B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B36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36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D90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E9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3A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2.160,00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9B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E1FBDC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58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A7C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A4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19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B7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AB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64.500,00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9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7E56E8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79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71C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91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5D5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CE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29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64.500,00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4B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4D3540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F2B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F1F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715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82E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311F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5F5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53E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83,33%</w:t>
            </w:r>
          </w:p>
        </w:tc>
      </w:tr>
      <w:tr w:rsidR="009812D9" w:rsidRPr="007D42F2" w14:paraId="2D18F86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CA7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0A0B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373C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CD8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6DC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5E4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83,33%</w:t>
            </w:r>
          </w:p>
        </w:tc>
      </w:tr>
      <w:tr w:rsidR="009812D9" w:rsidRPr="007D42F2" w14:paraId="530CB9E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F245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321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7BEF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681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1F8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507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83,33%</w:t>
            </w:r>
          </w:p>
        </w:tc>
      </w:tr>
      <w:tr w:rsidR="009812D9" w:rsidRPr="007D42F2" w14:paraId="330FDCF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79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18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E7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30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CE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DB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DD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83,33%</w:t>
            </w:r>
          </w:p>
        </w:tc>
      </w:tr>
      <w:tr w:rsidR="009812D9" w:rsidRPr="007D42F2" w14:paraId="3FC1ADA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C2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A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759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238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2E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9D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16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EA4632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ED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EE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64C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6C1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0F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CE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40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58D14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DA8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C4A3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7EC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Javna ovlast i redovna djelatnost službe traženja - Crveni križ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F76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CDE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9.799,97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283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10.099,97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BB7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5C73502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E3D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1358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F0C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F30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9.799,97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D26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10.099,97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4B5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170A738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6AF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938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C1E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7A2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9.799,97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37F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10.099,97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92C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445FCE1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7C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42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F7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26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97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9.799,97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2E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10.099,97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BE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103,06%</w:t>
            </w:r>
          </w:p>
        </w:tc>
      </w:tr>
      <w:tr w:rsidR="009812D9" w:rsidRPr="007D42F2" w14:paraId="7ABAF01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F1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63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D7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D7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2D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7F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10.099,97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01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59E09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A1C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146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FAF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Aktivnost: Program zaštite divljači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2B5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942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226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8.251,29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32E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130,97%</w:t>
            </w:r>
          </w:p>
        </w:tc>
      </w:tr>
      <w:tr w:rsidR="009812D9" w:rsidRPr="007D42F2" w14:paraId="6759FE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0B7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0B7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FB0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8F4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C1F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8.251,29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B20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130,97%</w:t>
            </w:r>
          </w:p>
        </w:tc>
      </w:tr>
      <w:tr w:rsidR="009812D9" w:rsidRPr="007D42F2" w14:paraId="4FA9E35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B4A7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4DCD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84E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704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356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8.251,29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082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130,97%</w:t>
            </w:r>
          </w:p>
        </w:tc>
      </w:tr>
      <w:tr w:rsidR="009812D9" w:rsidRPr="007D42F2" w14:paraId="29153A6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F5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C76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25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BE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F6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1A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2.251,29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AD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97,88%</w:t>
            </w:r>
          </w:p>
        </w:tc>
      </w:tr>
      <w:tr w:rsidR="009812D9" w:rsidRPr="007D42F2" w14:paraId="7B141CC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CE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7D7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ED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0C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D1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CE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257,29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CF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5F1493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7C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E03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79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DC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8C2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61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1.994,00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C6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81F0C6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A6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AC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FC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69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FA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8C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1B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150,00%</w:t>
            </w:r>
          </w:p>
        </w:tc>
      </w:tr>
      <w:tr w:rsidR="009812D9" w:rsidRPr="007D42F2" w14:paraId="34433D8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40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1A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BCB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6AE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29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66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5C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6EAC9A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D2A2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621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D2E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Vatrogasno vozilo - robne zalihe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0D0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554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5.451,95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D43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5.455,76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95A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100,07%</w:t>
            </w:r>
          </w:p>
        </w:tc>
      </w:tr>
      <w:tr w:rsidR="009812D9" w:rsidRPr="007D42F2" w14:paraId="711AB8F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667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AF6C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A0F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9E3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5.451,95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A261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5.455,76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47C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100,07%</w:t>
            </w:r>
          </w:p>
        </w:tc>
      </w:tr>
      <w:tr w:rsidR="009812D9" w:rsidRPr="007D42F2" w14:paraId="0B50874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666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91B8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1BE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706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5.451,95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267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5.455,76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ECB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100,07%</w:t>
            </w:r>
          </w:p>
        </w:tc>
      </w:tr>
      <w:tr w:rsidR="009812D9" w:rsidRPr="007D42F2" w14:paraId="09D4DF8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0C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DD2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99D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3B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03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5.451,95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E0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5.455,76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8F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100,07%</w:t>
            </w:r>
          </w:p>
        </w:tc>
      </w:tr>
      <w:tr w:rsidR="009812D9" w:rsidRPr="007D42F2" w14:paraId="194B784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72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67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54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648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39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89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1.910,44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29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BF4624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DA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1EE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D8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58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7F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05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200,26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61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A1BEF0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EB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78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2A6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16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A3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64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3.345,06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8D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45B1F9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D8D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4C1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1B8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Kapitalne donacije Vatrogasnoj zajednici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E14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575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A30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3BC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BDB52D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84B7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3B2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980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DBFB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0812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7C5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58B92E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6AD8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B9AD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0D8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DDE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C50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34D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840353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38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002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77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AD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07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51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8CB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9733F5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D4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45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AA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Kapitalne donacije građanima i kućanstvima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26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6FB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D7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0A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D70172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5268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7A9D9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00255 CIVILNE UDRUGE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FD64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632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E934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53.399,00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832D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2740B4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5599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A93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EF9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E3B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86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53.399,00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192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29E8E0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233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1081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F2C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BDA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ADC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53.399,00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8D7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ECCF55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BB4B8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4D61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A5DF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6CF5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0BC4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6FAC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53.399,00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4269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701CC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C3D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629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C82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Civilne udruge u području zdravstva, socijalno-humanitarne zaštite i udruge proizašle iz Dom.rata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9E6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EA7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5CA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3B2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EA7327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E0C9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64FC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F6B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5F7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5C4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C98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6D523D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8E96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23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FD6A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A39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B40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977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41C2BF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2C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2C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13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00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03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87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9C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4EE7A1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19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A9C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31F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D8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4C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25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11.700,00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A0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AAD84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F08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97E3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B08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Civilne udruge kulturnog karaktera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042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4337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840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CF6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D09950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FEE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016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F06C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4DA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F00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F72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BF36EA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691E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7D70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21E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FB2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2A11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BF5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6FBC7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DF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961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B6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2E6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F9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C3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5CC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9EFE31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6D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0BD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48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6B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3B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B0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27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29763F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7391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6752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A64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Civilne udruge u području gospodarstva i zaštite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3B6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B0B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989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CFB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B21C09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2DF4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CC4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063D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43F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2E5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157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5E0758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643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401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407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1C8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6E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D54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DCD99F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47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FE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54B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A8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3D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C8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78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0C2498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115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1B9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DDB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DD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87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FB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D6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DE503C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C99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F8C1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EC4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Naknade udrugama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7EA1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C07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FBF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5.699,00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3A1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99,98%</w:t>
            </w:r>
          </w:p>
        </w:tc>
      </w:tr>
      <w:tr w:rsidR="009812D9" w:rsidRPr="007D42F2" w14:paraId="79172E6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E9D4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522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8B9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238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412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5.699,00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746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99,98%</w:t>
            </w:r>
          </w:p>
        </w:tc>
      </w:tr>
      <w:tr w:rsidR="009812D9" w:rsidRPr="007D42F2" w14:paraId="59596A0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B0F5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836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C1B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E08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9C6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5.699,00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7BA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99,98%</w:t>
            </w:r>
          </w:p>
        </w:tc>
      </w:tr>
      <w:tr w:rsidR="009812D9" w:rsidRPr="007D42F2" w14:paraId="669E142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58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53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83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29B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3D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1B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5.699,00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B8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99,98%</w:t>
            </w:r>
          </w:p>
        </w:tc>
      </w:tr>
      <w:tr w:rsidR="009812D9" w:rsidRPr="007D42F2" w14:paraId="2B5D95C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15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3F9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C1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9A8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25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AEF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5.699,00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5F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D95E84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89C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B3C4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4234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Kapitalna donacija Župi sv. Margarete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9DF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2F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493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2B0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E02910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D38B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5E2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DAB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09E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EE0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7F4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397D61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3886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4816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4354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D23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CF0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768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DC9364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2C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B6D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164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5B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5FC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4A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ED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2EC7E3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65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42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38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Kapitalne donacije neprofitnim organizacijama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EC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D39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515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15.000,00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A9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B65D0E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B3F4C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C251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00265 TURIZAM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CB7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E003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6FF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C48D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74E64D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ADE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EB09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8BC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B2D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9CB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409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E16CEA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06F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1FC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72E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B97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06AF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54A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695CDB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2AAE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3F2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D598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081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FCB8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F7C7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37AFDEB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10C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952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A70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0F5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ECE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653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5405640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00882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74CA7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87FF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POTICANJE RAZVOJA TURIZMA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744E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FBEE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0A32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48AC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B12D90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A2FC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81F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A06D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Aktivni turizam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53E1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B1B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14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EB6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3C8DB66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D57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E23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237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BBA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545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989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FCD73C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B24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E342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2F9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40A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FE5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3A1A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6910DD2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CF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CB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AB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D0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9D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B7D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95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1DEB62B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066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34D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374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Djelovanje turističke zajednice "Zeleni istok"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420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CCD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891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8B31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FC0C1E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67C3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828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C99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31E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E7A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4AD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4A2D655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B70F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8A5F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3DB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6F2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0AC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E37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2517910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5E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EF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5C2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43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43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47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70E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5171A76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3B9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E26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BF4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Izgradnja poučno edukativne staze Varoški lug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8D3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76F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023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35B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05CF2A7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F26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F3D0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5632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9A3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C4C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DC5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1303F87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C33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098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39E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95F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2E8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B2C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812D9" w:rsidRPr="007D42F2" w14:paraId="265819B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D3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734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A7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9C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93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988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23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6AB8CF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DF774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EF5A3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00270 DJEČJI VRTIĆ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513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397.516,29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8EFD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559.691,07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5A7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555.158,25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F340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99,19%</w:t>
            </w:r>
          </w:p>
        </w:tc>
      </w:tr>
      <w:tr w:rsidR="009812D9" w:rsidRPr="007D42F2" w14:paraId="295AE0A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ACD6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67F5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0432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98.596,33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C6C5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198.379,13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4D1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210.522,17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230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106,12%</w:t>
            </w:r>
          </w:p>
        </w:tc>
      </w:tr>
      <w:tr w:rsidR="009812D9" w:rsidRPr="007D42F2" w14:paraId="0F20E2E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956C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246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706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98.596,33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01A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198.379,13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023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210.522,17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BC4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106,12%</w:t>
            </w:r>
          </w:p>
        </w:tc>
      </w:tr>
      <w:tr w:rsidR="009812D9" w:rsidRPr="007D42F2" w14:paraId="57B2D86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D141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90A0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28D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111.919,96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020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127.957,30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0F0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95.850,54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A63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74,91%</w:t>
            </w:r>
          </w:p>
        </w:tc>
      </w:tr>
      <w:tr w:rsidR="009812D9" w:rsidRPr="007D42F2" w14:paraId="1BFC7FC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4E5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4D4D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5BB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111.919,96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469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127.957,30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C3E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95.850,54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D40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74,91%</w:t>
            </w:r>
          </w:p>
        </w:tc>
      </w:tr>
      <w:tr w:rsidR="009812D9" w:rsidRPr="007D42F2" w14:paraId="1A3FDAF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E8D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14E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01C9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4C5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233.354,64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F71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248.785,54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137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106,61%</w:t>
            </w:r>
          </w:p>
        </w:tc>
      </w:tr>
      <w:tr w:rsidR="009812D9" w:rsidRPr="007D42F2" w14:paraId="149CDE4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F96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596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45E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842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147.217,00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7C4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162.647,90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4E6F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110,48%</w:t>
            </w:r>
          </w:p>
        </w:tc>
      </w:tr>
      <w:tr w:rsidR="009812D9" w:rsidRPr="007D42F2" w14:paraId="416F23B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7459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6AEB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987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E35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86.137,64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8997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86.137,64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339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7A3E0A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B9A38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C45F6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8C733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2DEB5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AB20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0901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9A7C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09AB2E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D261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B94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62F0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Otvorenje vrtića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741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879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A1A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9EE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2B3C96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DCA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198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DBE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F37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B75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307E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3FD93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1E77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93D2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C16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DC67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33C6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174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361B132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37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9D6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8D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42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B0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EA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6.389,91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1CF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7553DF5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E7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CC8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956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8C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7D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AB4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7A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68C13C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EDD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4E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53C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D8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0E3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5B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6.305,91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0E1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3FA029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DF77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F1E10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51B7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EB70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397.516,29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35FD8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553.301,16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4D2D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548.768,34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CB8D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99,18%</w:t>
            </w:r>
          </w:p>
        </w:tc>
      </w:tr>
      <w:tr w:rsidR="009812D9" w:rsidRPr="007D42F2" w14:paraId="5A97A652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25F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E581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6C3D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Redovan rad Dječjeg vrtića Dubrava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5277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360.166,29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7EE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505.001,08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4D2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500.468,26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30C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99,10%</w:t>
            </w:r>
          </w:p>
        </w:tc>
      </w:tr>
      <w:tr w:rsidR="009812D9" w:rsidRPr="007D42F2" w14:paraId="06CA4DB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475F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EB7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89EF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72.096,33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667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158.165,60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DA5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170.308,64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4B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107,68%</w:t>
            </w:r>
          </w:p>
        </w:tc>
      </w:tr>
      <w:tr w:rsidR="009812D9" w:rsidRPr="007D42F2" w14:paraId="07A10DA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3FC9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CD1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541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72.096,33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563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158.165,60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868D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170.308,64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BEE4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107,68%</w:t>
            </w:r>
          </w:p>
        </w:tc>
      </w:tr>
      <w:tr w:rsidR="009812D9" w:rsidRPr="007D42F2" w14:paraId="5F12292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D2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F92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44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51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58.145,00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2A8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143.077,37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E8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143.964,04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8C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100,62%</w:t>
            </w:r>
          </w:p>
        </w:tc>
      </w:tr>
      <w:tr w:rsidR="009812D9" w:rsidRPr="007D42F2" w14:paraId="60D4037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A3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A3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E8D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011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6A0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A7F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79.656,35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01B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BAED39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06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09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3B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2CA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C8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FB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53.050,00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64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E1DE21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60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0F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709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E68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1C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78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11.257,69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8D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1D9E13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6A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96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0A3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35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13.951,33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49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15.088,23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665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26.344,60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0B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174,60%</w:t>
            </w:r>
          </w:p>
        </w:tc>
      </w:tr>
      <w:tr w:rsidR="009812D9" w:rsidRPr="007D42F2" w14:paraId="4448116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03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E42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B49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95D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22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A2C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453,99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8A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D5A81B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59C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1E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8D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88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C9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6C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1.298,88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94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C9E54B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37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D56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B8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982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EC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BB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796,32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3C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E4F89B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A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369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C7D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A1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0A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BC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5.265,68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56E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9A094E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2A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49F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EC8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3EA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3C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FD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6.098,56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54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B71AE4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24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E0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84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9D3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631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B16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6.488,12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08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64897B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75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D0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55A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5B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A0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115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265,21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13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8E989B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644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2B1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050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3C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71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74A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4.055,66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02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57636A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C5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D2B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4BF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27A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257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98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1.622,18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B3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BE056A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B430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6B9A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D4D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101.069,96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7ED0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113.480,84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D3A0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81.374,08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8DF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71,71%</w:t>
            </w:r>
          </w:p>
        </w:tc>
      </w:tr>
      <w:tr w:rsidR="009812D9" w:rsidRPr="007D42F2" w14:paraId="77FEFC1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9E39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C1ED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8374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101.069,96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CC34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113.480,84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D697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81.374,08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4DE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71,71%</w:t>
            </w:r>
          </w:p>
        </w:tc>
      </w:tr>
      <w:tr w:rsidR="009812D9" w:rsidRPr="007D42F2" w14:paraId="743E352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0F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21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DA2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D0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44.376,34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53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47.489,54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54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34.059,34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6B5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71,72%</w:t>
            </w:r>
          </w:p>
        </w:tc>
      </w:tr>
      <w:tr w:rsidR="009812D9" w:rsidRPr="007D42F2" w14:paraId="6C1C979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14F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449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396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41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C71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E1F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27.677,60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C3A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C488A9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65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CAF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4F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06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55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59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6.381,74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630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9D3889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79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A7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CE5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44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55.668,16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65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61.765,84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B3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43.192,99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6F5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69,93%</w:t>
            </w:r>
          </w:p>
        </w:tc>
      </w:tr>
      <w:tr w:rsidR="009812D9" w:rsidRPr="007D42F2" w14:paraId="3F12ED7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B12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D4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5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EEB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35E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8F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480,00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E3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2D0A61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C7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A6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772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1E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02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0B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8.096,60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A1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833AD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E77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DC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FD6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4F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AC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E1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357,58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965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F1B8A3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678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AD1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DE9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40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E0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851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218,80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71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A1ADAC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8B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6C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378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744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CF6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C0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4.619,78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65D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2589F5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CCB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F44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13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A7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FD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B89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14.346,02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45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AF938F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44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24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B0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B67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202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A7B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252,52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2E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9108CB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48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D29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4A8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8B5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27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AD3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128,44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0B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9F7299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717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A6A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DB4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98A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E2D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27B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1.532,87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5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5EAF2A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171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C4B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ADF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1A7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845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0FD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1.330,85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5A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2A4A63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E4A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E1C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E2C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16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8C9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1D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53,30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64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3EF402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17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281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174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B9D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4B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A16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1.549,21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C84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03B927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1B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205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6F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06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08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DF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1.146,96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00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324F81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2AE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14C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3236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75E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CCF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8D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81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1.237,80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E5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8F7E68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DF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A89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69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09E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FDC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19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6.503,19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9F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374C73A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078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FC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CD7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BA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0F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B7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519,68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9FC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A82B72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6F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BF8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8EC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5D1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B57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7C3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129,88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DF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2164F0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A6B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A55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1B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760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FA7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F1C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587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1B3E5B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CD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42B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5F7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6BF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842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80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539,51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AD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C8A287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E3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762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3299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046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3F5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7E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D1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C7C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0EC87E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0F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DCA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C4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50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AF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B03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947,70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689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121,50%</w:t>
            </w:r>
          </w:p>
        </w:tc>
      </w:tr>
      <w:tr w:rsidR="009812D9" w:rsidRPr="007D42F2" w14:paraId="6E17061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80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879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3431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1FF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F51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F7A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9C8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947,70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B3F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7C2B75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93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172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11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357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245,46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471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245,46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FE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901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0,00%</w:t>
            </w:r>
          </w:p>
        </w:tc>
      </w:tr>
      <w:tr w:rsidR="009812D9" w:rsidRPr="007D42F2" w14:paraId="02FEC57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C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DC0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8D5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A8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1B0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91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3.174,05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80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99,19%</w:t>
            </w:r>
          </w:p>
        </w:tc>
      </w:tr>
      <w:tr w:rsidR="009812D9" w:rsidRPr="007D42F2" w14:paraId="3C154E7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B4E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D45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4227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1D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0D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A30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5DC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3.174,05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F4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DED2ED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027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7F9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B29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187.000,00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7133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233.354,64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9E2F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248.785,54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5662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106,61%</w:t>
            </w:r>
          </w:p>
        </w:tc>
      </w:tr>
      <w:tr w:rsidR="009812D9" w:rsidRPr="007D42F2" w14:paraId="169D914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A3F2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48CB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5.4. POMOĆI -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7E7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A21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147.217,00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3D07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162.647,90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2052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110,48%</w:t>
            </w:r>
          </w:p>
        </w:tc>
      </w:tr>
      <w:tr w:rsidR="009812D9" w:rsidRPr="007D42F2" w14:paraId="439EA97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02E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DF1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66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95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69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140.217,00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E09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152.964,00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00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109,09%</w:t>
            </w:r>
          </w:p>
        </w:tc>
      </w:tr>
      <w:tr w:rsidR="009812D9" w:rsidRPr="007D42F2" w14:paraId="4ECD0D2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839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C1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1BC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A90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EFF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DE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131.299,57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74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5CBC158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E98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DC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48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844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BBB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DF9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21.664,43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F0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03E753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05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82D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BC3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0CA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7D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E26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9.683,90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17B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138,34%</w:t>
            </w:r>
          </w:p>
        </w:tc>
      </w:tr>
      <w:tr w:rsidR="009812D9" w:rsidRPr="007D42F2" w14:paraId="12B8652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3E6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24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3213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95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11B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1D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F5E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1.575,32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16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54B3C5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41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68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8B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BC2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6C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85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957,00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BF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2D37B0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B2D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8E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19F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9D4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6FE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2AF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7.151,58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FA0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AC4D35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780E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86F0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5.5. POMOĆI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7AB2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E6BB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86.137,64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7E05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86.137,64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649A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10F62CD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004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9DA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107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AE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D4F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86.137,64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AE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86.137,64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C7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D5BA68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A9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01D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3111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B2A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96A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400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ADA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73.937,89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C5D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4BB864C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E96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01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841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15F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128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994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12.199,75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A5A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C80405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F558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1D69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A100002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24D1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Aktivnost: Glavna djelatnost - dislocirano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3B3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CFC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48.300,08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E9E3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48.300,08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90A6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D71123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15BA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57D1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CC5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CF4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33.823,62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C13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33.823,62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581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1CDA000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4E01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57B7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F5FE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26.500,00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ECD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33.823,62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304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33.823,62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E0B8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2033C6C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E50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62B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741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FC6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E7A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7D0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2.100,00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734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0DBF23B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C0D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EE7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3235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315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A63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C2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9AD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2.100,00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9D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04F65FE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6FF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FE9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D8F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946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475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31.723,62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50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31.723,62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A55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4DA6AA1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5A6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4A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3722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7B5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FF3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8F3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E7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31.723,62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896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50B96C69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7988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470E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B33C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10.850,00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EB43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14.476,46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532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14.476,46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93DE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5CC007AF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0E4A3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04205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1769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10.850,00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F17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14.476,46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406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14.476,46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ECF3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674ECE7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9FE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979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75E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67B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10.850,00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1C9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14.476,46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AF5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14.476,46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838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100,00%</w:t>
            </w:r>
          </w:p>
        </w:tc>
      </w:tr>
      <w:tr w:rsidR="009812D9" w:rsidRPr="007D42F2" w14:paraId="2B023026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193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6F4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195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115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542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1C1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2.857,44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293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97741E7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DD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6EDC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3222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D69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7BE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425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82A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7.319,93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4CD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7C3B415A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E91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538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3223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ECEF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8D2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D70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260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3.981,60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7F0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124FA63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05A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413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3234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E1DA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403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280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1D9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317,49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08E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812D9" w:rsidRPr="007D42F2" w14:paraId="67EFEA64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A76DA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6A74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GLAVA 00275 KOMUNALNO PODUZEĆE - DOMBRA 1094 D.O.O.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EC92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CBA93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2776E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9402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72EC5CF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FFBD4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CFDB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EE9B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9ECC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D3E1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41A9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6699CADD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7F261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A7457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E063E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2742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EF12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56D96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5BB8D3E1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08630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CC5FE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1000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8828F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Program: KOMUNALNO PODUZEĆE - DOMBRA 1094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9946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2CDFB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8FFE8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2327C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0CAFE453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5447D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162E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K100001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B01B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Kapitalni projekt: Kapitalna subvencija trgovačkom društvu Dombra 1094 d.o.o.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CC6B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0CF3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9942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52742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6550A80E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6F35B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2D489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04384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AFE3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64C2F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56B4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61B59C2B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BFC4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9E57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3FBFD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6EDE1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0A9D3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002B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4BB0998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0E8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93B6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5CD8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BF5B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F93A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E098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D560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68,39%</w:t>
            </w:r>
          </w:p>
        </w:tc>
      </w:tr>
      <w:tr w:rsidR="009812D9" w:rsidRPr="007D42F2" w14:paraId="367FF7B5" w14:textId="77777777" w:rsidTr="009812D9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4E65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52AE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3861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BCD2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9570" w14:textId="77777777" w:rsidR="007D42F2" w:rsidRPr="007D42F2" w:rsidRDefault="007D42F2" w:rsidP="007D4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B8A9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1677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D42F2"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6.839,05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C2CC" w14:textId="77777777" w:rsidR="007D42F2" w:rsidRPr="007D42F2" w:rsidRDefault="007D42F2" w:rsidP="007D4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</w:tbl>
    <w:p w14:paraId="4ABCDC3C" w14:textId="7FE1E1B6" w:rsidR="00884C89" w:rsidRDefault="00692FB2" w:rsidP="00DC2068">
      <w:pPr>
        <w:rPr>
          <w:b/>
          <w:bCs/>
          <w:lang w:val="hr-HR"/>
        </w:rPr>
      </w:pPr>
      <w:r>
        <w:rPr>
          <w:b/>
          <w:bCs/>
          <w:lang w:val="hr-HR"/>
        </w:rPr>
        <w:fldChar w:fldCharType="end"/>
      </w:r>
    </w:p>
    <w:p w14:paraId="0C05E109" w14:textId="754CFFD9" w:rsidR="005067A8" w:rsidRDefault="002A09BA" w:rsidP="005067A8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</w:t>
      </w:r>
      <w:r w:rsidR="005067A8">
        <w:rPr>
          <w:b/>
          <w:bCs/>
          <w:lang w:val="hr-HR"/>
        </w:rPr>
        <w:t xml:space="preserve"> 5.</w:t>
      </w:r>
    </w:p>
    <w:p w14:paraId="738A8B2B" w14:textId="659D960A" w:rsidR="005067A8" w:rsidRDefault="005067A8" w:rsidP="005067A8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POSEBNI IZVJEŠTAJI U GODIŠNJEM IZVJEŠTAJU O IZVRŠENJU PRORAČUNA</w:t>
      </w:r>
    </w:p>
    <w:p w14:paraId="1EE981C1" w14:textId="58111183" w:rsidR="005067A8" w:rsidRDefault="005067A8" w:rsidP="0015150E">
      <w:pPr>
        <w:jc w:val="both"/>
        <w:rPr>
          <w:lang w:val="hr-HR"/>
        </w:rPr>
      </w:pPr>
      <w:r>
        <w:rPr>
          <w:lang w:val="hr-HR"/>
        </w:rPr>
        <w:t>Posebni izvještaji u godišnjem izvještaju o izvršenju proračuna obuhvaćaju:</w:t>
      </w:r>
    </w:p>
    <w:p w14:paraId="376706E4" w14:textId="0FCCD422" w:rsidR="005067A8" w:rsidRDefault="005067A8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o korištenju proračunske zalihe</w:t>
      </w:r>
    </w:p>
    <w:p w14:paraId="60A30F1E" w14:textId="140A4926" w:rsidR="005067A8" w:rsidRDefault="005067A8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o zaduživanju na domaćem i stranom tržištu novca i kapitala</w:t>
      </w:r>
    </w:p>
    <w:p w14:paraId="6764A636" w14:textId="44445F9C" w:rsidR="005067A8" w:rsidRDefault="005067A8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o danim jamstvima i plaćanjima po protestiranim jamstvima</w:t>
      </w:r>
    </w:p>
    <w:p w14:paraId="4D74D3BA" w14:textId="54A01EE5" w:rsidR="005067A8" w:rsidRDefault="005067A8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o korištenju sredstava fondova Europske unije</w:t>
      </w:r>
    </w:p>
    <w:p w14:paraId="0924C6E7" w14:textId="29253BA6" w:rsidR="005067A8" w:rsidRDefault="005067A8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o danim jamstvima i potraživanjima po danim zajmovima</w:t>
      </w:r>
    </w:p>
    <w:p w14:paraId="4409003E" w14:textId="215DD583" w:rsidR="005067A8" w:rsidRDefault="005067A8" w:rsidP="0015150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Izvještaj o stanju potraživanja i dospjelih obveza te stanju potencijalnih obveza po osnovi sudskih sporova</w:t>
      </w:r>
    </w:p>
    <w:p w14:paraId="5CCF146B" w14:textId="77777777" w:rsidR="005067A8" w:rsidRDefault="005067A8" w:rsidP="0015150E">
      <w:pPr>
        <w:jc w:val="both"/>
        <w:rPr>
          <w:lang w:val="hr-HR"/>
        </w:rPr>
      </w:pPr>
    </w:p>
    <w:p w14:paraId="774AA5C2" w14:textId="6D90AFF3" w:rsidR="005067A8" w:rsidRPr="00B200B6" w:rsidRDefault="005067A8" w:rsidP="0015150E">
      <w:pPr>
        <w:jc w:val="both"/>
        <w:rPr>
          <w:b/>
          <w:bCs/>
          <w:lang w:val="hr-HR"/>
        </w:rPr>
      </w:pPr>
      <w:r w:rsidRPr="00B200B6">
        <w:rPr>
          <w:b/>
          <w:bCs/>
          <w:lang w:val="hr-HR"/>
        </w:rPr>
        <w:t>IZVJEŠTAJ O KORIŠTENJU PRORAČUNSKE ZALIHE</w:t>
      </w:r>
    </w:p>
    <w:p w14:paraId="3AE02654" w14:textId="26BD04FF" w:rsidR="005067A8" w:rsidRDefault="005067A8" w:rsidP="0015150E">
      <w:pPr>
        <w:jc w:val="both"/>
        <w:rPr>
          <w:lang w:val="hr-HR"/>
        </w:rPr>
      </w:pPr>
      <w:r>
        <w:rPr>
          <w:lang w:val="hr-HR"/>
        </w:rPr>
        <w:t>Proračunska zaliha je u Proračunu Općine Dubrava za 202</w:t>
      </w:r>
      <w:r w:rsidR="00A216F2">
        <w:rPr>
          <w:lang w:val="hr-HR"/>
        </w:rPr>
        <w:t>5</w:t>
      </w:r>
      <w:r>
        <w:rPr>
          <w:lang w:val="hr-HR"/>
        </w:rPr>
        <w:t>. godinu planirana u iznosu od 1.327,23 eura</w:t>
      </w:r>
      <w:r w:rsidR="00B200B6">
        <w:rPr>
          <w:lang w:val="hr-HR"/>
        </w:rPr>
        <w:t xml:space="preserve">. </w:t>
      </w:r>
      <w:r>
        <w:rPr>
          <w:lang w:val="hr-HR"/>
        </w:rPr>
        <w:t>U 202</w:t>
      </w:r>
      <w:r w:rsidR="00A216F2">
        <w:rPr>
          <w:lang w:val="hr-HR"/>
        </w:rPr>
        <w:t>5</w:t>
      </w:r>
      <w:r>
        <w:rPr>
          <w:lang w:val="hr-HR"/>
        </w:rPr>
        <w:t>. godini Općina Dubrava nije koristila proračunsku zalihu</w:t>
      </w:r>
      <w:r w:rsidR="00B200B6">
        <w:rPr>
          <w:lang w:val="hr-HR"/>
        </w:rPr>
        <w:t>.</w:t>
      </w:r>
    </w:p>
    <w:p w14:paraId="6C02B4C9" w14:textId="77777777" w:rsidR="00B200B6" w:rsidRDefault="00B200B6" w:rsidP="0015150E">
      <w:pPr>
        <w:jc w:val="both"/>
        <w:rPr>
          <w:lang w:val="hr-HR"/>
        </w:rPr>
      </w:pPr>
    </w:p>
    <w:p w14:paraId="77C1E5DF" w14:textId="1B8A9734" w:rsidR="00B200B6" w:rsidRPr="00B54571" w:rsidRDefault="00B200B6" w:rsidP="0015150E">
      <w:pPr>
        <w:jc w:val="both"/>
        <w:rPr>
          <w:b/>
          <w:bCs/>
          <w:lang w:val="hr-HR"/>
        </w:rPr>
      </w:pPr>
      <w:r w:rsidRPr="00B54571">
        <w:rPr>
          <w:b/>
          <w:bCs/>
          <w:lang w:val="hr-HR"/>
        </w:rPr>
        <w:t>IZVJEŠTAJ O ZADUŽIVANJU NA DOMAĆEM I STRANOM TRŽIŠTU NOVCA I KAPITALA</w:t>
      </w:r>
    </w:p>
    <w:p w14:paraId="15AEE6C8" w14:textId="5BD5CFF9" w:rsidR="00B200B6" w:rsidRDefault="00B200B6" w:rsidP="0015150E">
      <w:pPr>
        <w:jc w:val="both"/>
        <w:rPr>
          <w:lang w:val="hr-HR"/>
        </w:rPr>
      </w:pPr>
      <w:r>
        <w:rPr>
          <w:lang w:val="hr-HR"/>
        </w:rPr>
        <w:t xml:space="preserve">U 2023. godini Općina Dubrava je započela radnje za dugoročno zaduživanje na domaćem tržištu kapitala. </w:t>
      </w:r>
      <w:r w:rsidR="00B54571">
        <w:rPr>
          <w:lang w:val="hr-HR"/>
        </w:rPr>
        <w:t xml:space="preserve">Općinsko </w:t>
      </w:r>
      <w:r>
        <w:rPr>
          <w:lang w:val="hr-HR"/>
        </w:rPr>
        <w:t>vijeć</w:t>
      </w:r>
      <w:r w:rsidR="00B54571">
        <w:rPr>
          <w:lang w:val="hr-HR"/>
        </w:rPr>
        <w:t xml:space="preserve">e je na svojoj 22. izvanrednoj sjednici održanoj </w:t>
      </w:r>
      <w:r>
        <w:rPr>
          <w:lang w:val="hr-HR"/>
        </w:rPr>
        <w:t xml:space="preserve"> </w:t>
      </w:r>
      <w:r w:rsidR="00B54571">
        <w:rPr>
          <w:lang w:val="hr-HR"/>
        </w:rPr>
        <w:t xml:space="preserve">01. rujna 2023. godine donijelo Odluku o zaduženju Općine Dubrava. Zaduženje se odnosi na </w:t>
      </w:r>
      <w:r w:rsidR="00E56DB6">
        <w:rPr>
          <w:lang w:val="hr-HR"/>
        </w:rPr>
        <w:t>podizanje</w:t>
      </w:r>
      <w:r w:rsidR="00B54571">
        <w:rPr>
          <w:lang w:val="hr-HR"/>
        </w:rPr>
        <w:t xml:space="preserve"> dugoročnog kredita kod Hrvatske banke za </w:t>
      </w:r>
      <w:r w:rsidR="00B54571">
        <w:rPr>
          <w:lang w:val="hr-HR"/>
        </w:rPr>
        <w:lastRenderedPageBreak/>
        <w:t>obnovu i razvoj Strossmayerov trg 9, Zagreb u iznosu od 3.530.471,81 eura za financiranje projekta „Rekonstrukcija i dogradnja zgrade javne i društvene namjene dječji vrtić – Općina Dubrava“. Namjena kredita je za građevinsko – obrtničke radove, opremanje, stručni nadzor, PDV. Ugovorena kamatna stopa je 3,20% godišnje, fiksna u skladu s Programom kreditiranja, uz mogućnost subvencioniranja kamatne stope kroz Nacionalni plan oporavka i otpornosti (NPOO). Odlukom je definirano ukoliko bi se kamatna stopa subvencionirala iz sredstva NPOO-a uz subvenciju u rasponu od 50% - 75% da će se onda obračunavati u odnosu na važeću referentnu kamatnu stopu koja je tada iznosila 4,24%. Subvencioniranje kamatne stope iz sredstava NPOO-a odnosi se samo na kapitalno ulaganje bez PDV-a. Otplata kredita je na rok 15 godina (bez počeka)</w:t>
      </w:r>
      <w:r w:rsidR="00B60CD2">
        <w:rPr>
          <w:lang w:val="hr-HR"/>
        </w:rPr>
        <w:t xml:space="preserve"> u 180 jednakih uzastopnih mjesečnih rata koje dospijevaju svakog zadnjeg dana u mjesecu, a prva rata dospijeva 30.11.2025. godine što znači da je krajnji rok korištenja kredita 31.10.2025. godine.</w:t>
      </w:r>
    </w:p>
    <w:p w14:paraId="14CCD06B" w14:textId="1B360DD9" w:rsidR="00BC1661" w:rsidRPr="00F7181D" w:rsidRDefault="00E129AA" w:rsidP="0015150E">
      <w:pPr>
        <w:jc w:val="both"/>
        <w:rPr>
          <w:lang w:val="hr-HR"/>
        </w:rPr>
      </w:pPr>
      <w:r>
        <w:rPr>
          <w:lang w:val="hr-HR"/>
        </w:rPr>
        <w:t xml:space="preserve">U 2024. godini počelo je korištenje odobrenog kredita HBOR-a prema pristiglim situacijama izvođača radova. Ukupno je korišteno </w:t>
      </w:r>
      <w:r w:rsidR="00BC1661">
        <w:rPr>
          <w:lang w:val="hr-HR"/>
        </w:rPr>
        <w:t>1.314.653,87 eura.</w:t>
      </w:r>
      <w:r w:rsidR="00F7181D">
        <w:rPr>
          <w:lang w:val="hr-HR"/>
        </w:rPr>
        <w:t xml:space="preserve"> </w:t>
      </w:r>
      <w:r w:rsidR="00BC1661">
        <w:rPr>
          <w:lang w:val="hr-HR"/>
        </w:rPr>
        <w:t xml:space="preserve">Iznos </w:t>
      </w:r>
      <w:r w:rsidR="00F7181D">
        <w:rPr>
          <w:lang w:val="hr-HR"/>
        </w:rPr>
        <w:t xml:space="preserve">odobrene </w:t>
      </w:r>
      <w:r w:rsidR="00BC1661">
        <w:rPr>
          <w:lang w:val="hr-HR"/>
        </w:rPr>
        <w:t xml:space="preserve">subvencije kamatne stope iz </w:t>
      </w:r>
      <w:r w:rsidR="00BC1661" w:rsidRPr="00F7181D">
        <w:rPr>
          <w:lang w:val="hr-HR"/>
        </w:rPr>
        <w:t>sredstva NPOO-a je 65%</w:t>
      </w:r>
      <w:r w:rsidR="00406AAD">
        <w:rPr>
          <w:lang w:val="hr-HR"/>
        </w:rPr>
        <w:t>, shodno tome kamatna stopa će iznositi 1,484%</w:t>
      </w:r>
      <w:r w:rsidR="00F7181D">
        <w:rPr>
          <w:lang w:val="hr-HR"/>
        </w:rPr>
        <w:t>.</w:t>
      </w:r>
      <w:r w:rsidR="00BC1661" w:rsidRPr="00F7181D">
        <w:rPr>
          <w:lang w:val="hr-HR"/>
        </w:rPr>
        <w:t xml:space="preserve"> </w:t>
      </w:r>
      <w:r w:rsidR="00E56DB6">
        <w:rPr>
          <w:lang w:val="hr-HR"/>
        </w:rPr>
        <w:t>U 2025. godini iskorišten je ostatak odobrenog kredita u iznosu 2.215.817,94 eura. Kredit je u cijelosti iskorišten 25.06.2025. godine. Otplata rati kredita započela je prema otplatnom planu 30.11.2025. te je do kraja godine uplaćeno HBOR-u u ime kredita 49.394,31 euro od čega je 39.227,48 glavnica, a 10.166,83 eura kamata.</w:t>
      </w:r>
    </w:p>
    <w:p w14:paraId="567DA9CD" w14:textId="77777777" w:rsidR="00B60CD2" w:rsidRDefault="00B60CD2" w:rsidP="005067A8">
      <w:pPr>
        <w:rPr>
          <w:lang w:val="hr-HR"/>
        </w:rPr>
      </w:pPr>
    </w:p>
    <w:p w14:paraId="3704A9DD" w14:textId="1073F4BA" w:rsidR="00B60CD2" w:rsidRPr="00C32F5A" w:rsidRDefault="00B60CD2" w:rsidP="0015150E">
      <w:pPr>
        <w:jc w:val="both"/>
        <w:rPr>
          <w:b/>
          <w:bCs/>
          <w:lang w:val="hr-HR"/>
        </w:rPr>
      </w:pPr>
      <w:r w:rsidRPr="00C32F5A">
        <w:rPr>
          <w:b/>
          <w:bCs/>
          <w:lang w:val="hr-HR"/>
        </w:rPr>
        <w:t>IZVJEŠT</w:t>
      </w:r>
      <w:r w:rsidR="00B8116F" w:rsidRPr="00C32F5A">
        <w:rPr>
          <w:b/>
          <w:bCs/>
          <w:lang w:val="hr-HR"/>
        </w:rPr>
        <w:t>A</w:t>
      </w:r>
      <w:r w:rsidRPr="00C32F5A">
        <w:rPr>
          <w:b/>
          <w:bCs/>
          <w:lang w:val="hr-HR"/>
        </w:rPr>
        <w:t>J O DANIM JAMSTVIMA I PLAĆANJIMA PO PROTESTIRANIM JAMSTVIMA</w:t>
      </w:r>
    </w:p>
    <w:p w14:paraId="14812E5B" w14:textId="2B8876B9" w:rsidR="00B8116F" w:rsidRDefault="00B8116F" w:rsidP="0015150E">
      <w:pPr>
        <w:jc w:val="both"/>
        <w:rPr>
          <w:lang w:val="hr-HR"/>
        </w:rPr>
      </w:pPr>
      <w:r>
        <w:rPr>
          <w:lang w:val="hr-HR"/>
        </w:rPr>
        <w:t>Općina Dubrava u 202</w:t>
      </w:r>
      <w:r w:rsidR="00E56DB6">
        <w:rPr>
          <w:lang w:val="hr-HR"/>
        </w:rPr>
        <w:t>5</w:t>
      </w:r>
      <w:r>
        <w:rPr>
          <w:lang w:val="hr-HR"/>
        </w:rPr>
        <w:t>. godini nije davala jamstva niti vršila plaćanja po protestiranim jamstvima.</w:t>
      </w:r>
    </w:p>
    <w:p w14:paraId="732BEA32" w14:textId="77777777" w:rsidR="00E56DB6" w:rsidRDefault="00E56DB6" w:rsidP="0015150E">
      <w:pPr>
        <w:jc w:val="both"/>
        <w:rPr>
          <w:lang w:val="hr-HR"/>
        </w:rPr>
      </w:pPr>
    </w:p>
    <w:p w14:paraId="447850FC" w14:textId="1C604522" w:rsidR="00B8116F" w:rsidRDefault="00B8116F" w:rsidP="0015150E">
      <w:pPr>
        <w:jc w:val="both"/>
        <w:rPr>
          <w:b/>
          <w:bCs/>
          <w:lang w:val="hr-HR"/>
        </w:rPr>
      </w:pPr>
      <w:r w:rsidRPr="00733A3D">
        <w:rPr>
          <w:b/>
          <w:bCs/>
          <w:lang w:val="hr-HR"/>
        </w:rPr>
        <w:t>IZVJEŠTAJ O KORIŠTENJU SREDSTAVA FONDOVA EUROPSKE UNIJE</w:t>
      </w:r>
    </w:p>
    <w:p w14:paraId="6C380C92" w14:textId="1F20101B" w:rsidR="00B8116F" w:rsidRDefault="009D17DE" w:rsidP="0015150E">
      <w:pPr>
        <w:jc w:val="both"/>
        <w:rPr>
          <w:lang w:val="hr-HR"/>
        </w:rPr>
      </w:pPr>
      <w:r>
        <w:rPr>
          <w:lang w:val="hr-HR"/>
        </w:rPr>
        <w:t xml:space="preserve">U </w:t>
      </w:r>
      <w:r w:rsidRPr="008C3BB2">
        <w:rPr>
          <w:lang w:val="hr-HR"/>
        </w:rPr>
        <w:t>razdoblju 01.01. – 31.12.202</w:t>
      </w:r>
      <w:r w:rsidR="00E56DB6">
        <w:rPr>
          <w:lang w:val="hr-HR"/>
        </w:rPr>
        <w:t>5</w:t>
      </w:r>
      <w:r w:rsidRPr="008C3BB2">
        <w:rPr>
          <w:lang w:val="hr-HR"/>
        </w:rPr>
        <w:t xml:space="preserve">. Općina Dubrava je </w:t>
      </w:r>
      <w:r w:rsidR="008C3BB2" w:rsidRPr="008C3BB2">
        <w:rPr>
          <w:lang w:val="hr-HR"/>
        </w:rPr>
        <w:t xml:space="preserve">ostvarila sredstva iz fondova EU </w:t>
      </w:r>
      <w:r w:rsidR="008C3BB2">
        <w:rPr>
          <w:lang w:val="hr-HR"/>
        </w:rPr>
        <w:t xml:space="preserve">(APPRRR) </w:t>
      </w:r>
      <w:r w:rsidR="008C3BB2" w:rsidRPr="008C3BB2">
        <w:rPr>
          <w:lang w:val="hr-HR"/>
        </w:rPr>
        <w:t xml:space="preserve">za projekt </w:t>
      </w:r>
      <w:r w:rsidR="00E56DB6">
        <w:rPr>
          <w:lang w:val="hr-HR"/>
        </w:rPr>
        <w:t>„Rekonstrukcija i dogradnja zgrade javne i društvene namjene dječji vrtić – Općina Dubrava“. Potpora je d</w:t>
      </w:r>
      <w:r w:rsidR="00E56DB6" w:rsidRPr="00E56DB6">
        <w:rPr>
          <w:lang w:val="hr-HR"/>
        </w:rPr>
        <w:t>odijeljena za Podmjeru 7.4. »Ulaganja u pokretanje, poboljšanje ili proširenje lokalnih temeljnih usluga za ruralno stanovništvo, uključujući slobodno vrijeme i kulturne aktivnosti te povezanu infrastrukturu« - provedba tipa operacije 7.4.1. »Ulaganja u pokretanje, poboljšanje ili proširenje lokalnih temeljnih usluga za ruralno stanovništvo, uključujući slobodno vrijeme i kulturne aktivnosti te povezanu infrastrukturu, poboljšanje ili proširenje svih vrsta male infrastrukture« sektoru dječji vrtići</w:t>
      </w:r>
      <w:r w:rsidR="00E56DB6" w:rsidRPr="00E56DB6">
        <w:rPr>
          <w:b/>
          <w:bCs/>
          <w:lang w:val="hr-HR"/>
        </w:rPr>
        <w:t xml:space="preserve"> </w:t>
      </w:r>
      <w:r w:rsidR="00E56DB6" w:rsidRPr="00E56DB6">
        <w:rPr>
          <w:lang w:val="hr-HR"/>
        </w:rPr>
        <w:t xml:space="preserve">u iznosu od 996.761,20 EUR. </w:t>
      </w:r>
      <w:r w:rsidR="00E56DB6">
        <w:rPr>
          <w:lang w:val="hr-HR"/>
        </w:rPr>
        <w:t xml:space="preserve"> </w:t>
      </w:r>
    </w:p>
    <w:p w14:paraId="19B05429" w14:textId="77777777" w:rsidR="00E56DB6" w:rsidRDefault="00E56DB6" w:rsidP="0015150E">
      <w:pPr>
        <w:jc w:val="both"/>
        <w:rPr>
          <w:lang w:val="hr-HR"/>
        </w:rPr>
      </w:pPr>
    </w:p>
    <w:p w14:paraId="6ED4BE69" w14:textId="26F1EB19" w:rsidR="00B8116F" w:rsidRPr="00CF321C" w:rsidRDefault="00B8116F" w:rsidP="0015150E">
      <w:pPr>
        <w:jc w:val="both"/>
        <w:rPr>
          <w:b/>
          <w:bCs/>
          <w:lang w:val="hr-HR"/>
        </w:rPr>
      </w:pPr>
      <w:r w:rsidRPr="00CF321C">
        <w:rPr>
          <w:b/>
          <w:bCs/>
          <w:lang w:val="hr-HR"/>
        </w:rPr>
        <w:t>IZVJEŠTAJ O DANIM ZAJMOVIMA I POTRAŽIVANJIMA PO DANIM ZAJMOVIMA</w:t>
      </w:r>
    </w:p>
    <w:p w14:paraId="5236C953" w14:textId="78BD329A" w:rsidR="00CF321C" w:rsidRDefault="00CF321C" w:rsidP="0015150E">
      <w:pPr>
        <w:jc w:val="both"/>
        <w:rPr>
          <w:lang w:val="hr-HR"/>
        </w:rPr>
      </w:pPr>
      <w:r>
        <w:rPr>
          <w:lang w:val="hr-HR"/>
        </w:rPr>
        <w:t>U 202</w:t>
      </w:r>
      <w:r w:rsidR="00E56DB6">
        <w:rPr>
          <w:lang w:val="hr-HR"/>
        </w:rPr>
        <w:t>5</w:t>
      </w:r>
      <w:r>
        <w:rPr>
          <w:lang w:val="hr-HR"/>
        </w:rPr>
        <w:t>. godini Općina Dubrava nije davala zajmove niti ima</w:t>
      </w:r>
      <w:r w:rsidR="00400143">
        <w:rPr>
          <w:lang w:val="hr-HR"/>
        </w:rPr>
        <w:t>la</w:t>
      </w:r>
      <w:r>
        <w:rPr>
          <w:lang w:val="hr-HR"/>
        </w:rPr>
        <w:t xml:space="preserve"> potraživanja po danim zajmovima.</w:t>
      </w:r>
    </w:p>
    <w:p w14:paraId="672FCD52" w14:textId="77777777" w:rsidR="00B8116F" w:rsidRDefault="00B8116F" w:rsidP="0015150E">
      <w:pPr>
        <w:jc w:val="both"/>
        <w:rPr>
          <w:lang w:val="hr-HR"/>
        </w:rPr>
      </w:pPr>
    </w:p>
    <w:p w14:paraId="760DDC76" w14:textId="53DCF3EF" w:rsidR="00B8116F" w:rsidRPr="00DA5A41" w:rsidRDefault="00B8116F" w:rsidP="0015150E">
      <w:pPr>
        <w:jc w:val="both"/>
        <w:rPr>
          <w:b/>
          <w:bCs/>
          <w:lang w:val="hr-HR"/>
        </w:rPr>
      </w:pPr>
      <w:r w:rsidRPr="00DA5A41">
        <w:rPr>
          <w:b/>
          <w:bCs/>
          <w:lang w:val="hr-HR"/>
        </w:rPr>
        <w:t>IZVJEŠTAJ O STANJU POTRAŽIVANJA I DOSPJELIH OBVEZA TE STANJU POTENCIJALNIH OBVEZA PO OSNOVI SUDSKIH SPOROVA</w:t>
      </w:r>
    </w:p>
    <w:p w14:paraId="7AB26FC3" w14:textId="145E5032" w:rsidR="00B8116F" w:rsidRDefault="00CF321C" w:rsidP="0015150E">
      <w:pPr>
        <w:jc w:val="both"/>
        <w:rPr>
          <w:lang w:val="hr-HR"/>
        </w:rPr>
      </w:pPr>
      <w:r>
        <w:rPr>
          <w:lang w:val="hr-HR"/>
        </w:rPr>
        <w:lastRenderedPageBreak/>
        <w:t>Na dan 31.12.202</w:t>
      </w:r>
      <w:r w:rsidR="00E56DB6">
        <w:rPr>
          <w:lang w:val="hr-HR"/>
        </w:rPr>
        <w:t>5</w:t>
      </w:r>
      <w:r>
        <w:rPr>
          <w:lang w:val="hr-HR"/>
        </w:rPr>
        <w:t xml:space="preserve">. godine stanje </w:t>
      </w:r>
      <w:r w:rsidRPr="00CF321C">
        <w:rPr>
          <w:i/>
          <w:iCs/>
          <w:u w:val="single"/>
          <w:lang w:val="hr-HR"/>
        </w:rPr>
        <w:t>nenaplaćenih potraživanja</w:t>
      </w:r>
      <w:r>
        <w:rPr>
          <w:lang w:val="hr-HR"/>
        </w:rPr>
        <w:t xml:space="preserve"> Općine Dubrava je bilo </w:t>
      </w:r>
      <w:r w:rsidR="00994DD3">
        <w:rPr>
          <w:lang w:val="hr-HR"/>
        </w:rPr>
        <w:t>1.651.948,29</w:t>
      </w:r>
      <w:r>
        <w:rPr>
          <w:lang w:val="hr-HR"/>
        </w:rPr>
        <w:t xml:space="preserve"> eura. Prema strukturi nenaplaćenih potraživanja ona se odnose na: </w:t>
      </w:r>
    </w:p>
    <w:p w14:paraId="01CB7B4D" w14:textId="1855E11B" w:rsidR="00B8116F" w:rsidRDefault="00B8116F" w:rsidP="0015150E">
      <w:pPr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 xml:space="preserve">Potraživanja za prihode poslovanja – u iznosu </w:t>
      </w:r>
      <w:r w:rsidR="00F11A7E">
        <w:rPr>
          <w:rFonts w:cstheme="minorHAnsi"/>
          <w:lang w:val="hr-HR"/>
        </w:rPr>
        <w:t>1.</w:t>
      </w:r>
      <w:r w:rsidR="00FE12CB">
        <w:rPr>
          <w:rFonts w:cstheme="minorHAnsi"/>
          <w:lang w:val="hr-HR"/>
        </w:rPr>
        <w:t>646.542,43</w:t>
      </w:r>
      <w:r w:rsidRPr="00D84E5D">
        <w:rPr>
          <w:rFonts w:cstheme="minorHAnsi"/>
          <w:lang w:val="hr-HR"/>
        </w:rPr>
        <w:t xml:space="preserve"> eura </w:t>
      </w:r>
    </w:p>
    <w:p w14:paraId="2C8E9AF6" w14:textId="45234CBA" w:rsidR="00B8116F" w:rsidRPr="00CF321C" w:rsidRDefault="00B8116F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>Potraživanja za lokalne poreze</w:t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="00BF08B9">
        <w:rPr>
          <w:rFonts w:cstheme="minorHAnsi"/>
          <w:lang w:val="hr-HR"/>
        </w:rPr>
        <w:tab/>
      </w:r>
      <w:r w:rsidR="00780FD5">
        <w:rPr>
          <w:rFonts w:cstheme="minorHAnsi"/>
          <w:lang w:val="hr-HR"/>
        </w:rPr>
        <w:t xml:space="preserve">     </w:t>
      </w:r>
      <w:r w:rsidR="00780FD5" w:rsidRPr="00780FD5">
        <w:rPr>
          <w:lang w:val="hr-HR"/>
        </w:rPr>
        <w:t>29.352,98</w:t>
      </w:r>
      <w:r w:rsidR="00780FD5">
        <w:rPr>
          <w:b/>
          <w:bCs/>
          <w:lang w:val="hr-HR"/>
        </w:rPr>
        <w:t xml:space="preserve"> </w:t>
      </w:r>
      <w:r w:rsidRPr="00CF321C">
        <w:rPr>
          <w:rFonts w:cstheme="minorHAnsi"/>
          <w:lang w:val="hr-HR"/>
        </w:rPr>
        <w:t>eura</w:t>
      </w:r>
    </w:p>
    <w:p w14:paraId="75DB992B" w14:textId="024B68E5" w:rsidR="00B8116F" w:rsidRPr="00CF321C" w:rsidRDefault="00B8116F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>Potraživanja za prihode od imovine</w:t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  <w:t xml:space="preserve"> </w:t>
      </w:r>
      <w:r w:rsidR="00BF08B9">
        <w:rPr>
          <w:rFonts w:cstheme="minorHAnsi"/>
          <w:lang w:val="hr-HR"/>
        </w:rPr>
        <w:tab/>
      </w:r>
      <w:r w:rsidR="00780FD5">
        <w:rPr>
          <w:rFonts w:cstheme="minorHAnsi"/>
          <w:lang w:val="hr-HR"/>
        </w:rPr>
        <w:t xml:space="preserve">   </w:t>
      </w:r>
      <w:r w:rsidR="00BF08B9">
        <w:rPr>
          <w:rFonts w:cstheme="minorHAnsi"/>
          <w:lang w:val="hr-HR"/>
        </w:rPr>
        <w:t xml:space="preserve">  </w:t>
      </w:r>
      <w:r w:rsidR="00F11A7E">
        <w:rPr>
          <w:rFonts w:cstheme="minorHAnsi"/>
          <w:lang w:val="hr-HR"/>
        </w:rPr>
        <w:t>18.710,45</w:t>
      </w:r>
      <w:r w:rsidR="0096464E">
        <w:rPr>
          <w:rFonts w:ascii="Times New Roman" w:hAnsi="Times New Roman" w:cs="Times New Roman"/>
        </w:rPr>
        <w:t xml:space="preserve"> </w:t>
      </w:r>
      <w:r w:rsidRPr="00CF321C">
        <w:rPr>
          <w:rFonts w:cstheme="minorHAnsi"/>
          <w:lang w:val="hr-HR"/>
        </w:rPr>
        <w:t>eura</w:t>
      </w:r>
    </w:p>
    <w:p w14:paraId="0490039B" w14:textId="55E691D8" w:rsidR="00B8116F" w:rsidRPr="00CF321C" w:rsidRDefault="00B8116F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 xml:space="preserve">Potraživanja upravne i administrativne pristojbe </w:t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="00CF321C" w:rsidRPr="00CF321C">
        <w:rPr>
          <w:rFonts w:cstheme="minorHAnsi"/>
          <w:lang w:val="hr-HR"/>
        </w:rPr>
        <w:tab/>
      </w:r>
      <w:r w:rsidR="00BF08B9">
        <w:rPr>
          <w:rFonts w:cstheme="minorHAnsi"/>
          <w:lang w:val="hr-HR"/>
        </w:rPr>
        <w:tab/>
      </w:r>
      <w:r w:rsidR="00780FD5">
        <w:rPr>
          <w:rFonts w:cstheme="minorHAnsi"/>
          <w:lang w:val="hr-HR"/>
        </w:rPr>
        <w:t xml:space="preserve">   </w:t>
      </w:r>
      <w:r w:rsidR="00F11A7E">
        <w:rPr>
          <w:rFonts w:cstheme="minorHAnsi"/>
          <w:lang w:val="hr-HR"/>
        </w:rPr>
        <w:t>224.002,41</w:t>
      </w:r>
      <w:r w:rsidR="0096464E">
        <w:rPr>
          <w:rFonts w:ascii="Times New Roman" w:hAnsi="Times New Roman" w:cs="Times New Roman"/>
        </w:rPr>
        <w:t xml:space="preserve"> </w:t>
      </w:r>
      <w:r w:rsidRPr="00CF321C">
        <w:rPr>
          <w:rFonts w:cstheme="minorHAnsi"/>
          <w:lang w:val="hr-HR"/>
        </w:rPr>
        <w:t>eura</w:t>
      </w:r>
    </w:p>
    <w:p w14:paraId="23E703E3" w14:textId="38493FB3" w:rsidR="00B8116F" w:rsidRDefault="00B8116F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 xml:space="preserve">Potraživanja za prihode od prodaje proizvoda i robe te pruženih usluga       </w:t>
      </w:r>
      <w:r w:rsidR="00BF08B9">
        <w:rPr>
          <w:rFonts w:cstheme="minorHAnsi"/>
          <w:lang w:val="hr-HR"/>
        </w:rPr>
        <w:tab/>
      </w:r>
      <w:r w:rsidR="00780FD5">
        <w:rPr>
          <w:rFonts w:cstheme="minorHAnsi"/>
          <w:lang w:val="hr-HR"/>
        </w:rPr>
        <w:t xml:space="preserve">  </w:t>
      </w:r>
      <w:r w:rsidR="00BF08B9">
        <w:rPr>
          <w:rFonts w:cstheme="minorHAnsi"/>
          <w:lang w:val="hr-HR"/>
        </w:rPr>
        <w:t xml:space="preserve">  </w:t>
      </w:r>
      <w:r w:rsidR="00F11A7E">
        <w:rPr>
          <w:rFonts w:cstheme="minorHAnsi"/>
          <w:lang w:val="hr-HR"/>
        </w:rPr>
        <w:t xml:space="preserve">  </w:t>
      </w:r>
      <w:r w:rsidRPr="00CF321C">
        <w:rPr>
          <w:rFonts w:cstheme="minorHAnsi"/>
          <w:lang w:val="hr-HR"/>
        </w:rPr>
        <w:t xml:space="preserve"> </w:t>
      </w:r>
      <w:r w:rsidR="00F11A7E">
        <w:rPr>
          <w:rFonts w:cstheme="minorHAnsi"/>
          <w:lang w:val="hr-HR"/>
        </w:rPr>
        <w:t>2.820,84</w:t>
      </w:r>
      <w:r w:rsidR="0096464E">
        <w:rPr>
          <w:rFonts w:ascii="Times New Roman" w:hAnsi="Times New Roman" w:cs="Times New Roman"/>
        </w:rPr>
        <w:t xml:space="preserve"> </w:t>
      </w:r>
      <w:r w:rsidRPr="00CF321C">
        <w:rPr>
          <w:rFonts w:cstheme="minorHAnsi"/>
          <w:lang w:val="hr-HR"/>
        </w:rPr>
        <w:t>eura</w:t>
      </w:r>
    </w:p>
    <w:p w14:paraId="031A961F" w14:textId="6BF0F67C" w:rsidR="00780FD5" w:rsidRPr="00CF321C" w:rsidRDefault="00780FD5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Potraživanja od MRRFEU</w:t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>1.360.000,00 eura</w:t>
      </w:r>
    </w:p>
    <w:p w14:paraId="708CE63E" w14:textId="26F1EBDF" w:rsidR="00B8116F" w:rsidRPr="00CF321C" w:rsidRDefault="00B8116F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>Potraživanja za opskrbnine DV Dubrava</w:t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  <w:t xml:space="preserve">     </w:t>
      </w:r>
      <w:r w:rsidR="00BF08B9">
        <w:rPr>
          <w:rFonts w:cstheme="minorHAnsi"/>
          <w:lang w:val="hr-HR"/>
        </w:rPr>
        <w:tab/>
        <w:t xml:space="preserve">   </w:t>
      </w:r>
      <w:r w:rsidR="008A5A7C">
        <w:rPr>
          <w:rFonts w:cstheme="minorHAnsi"/>
          <w:lang w:val="hr-HR"/>
        </w:rPr>
        <w:t xml:space="preserve">   </w:t>
      </w:r>
      <w:r w:rsidR="00555F03">
        <w:rPr>
          <w:rFonts w:cstheme="minorHAnsi"/>
          <w:lang w:val="hr-HR"/>
        </w:rPr>
        <w:t xml:space="preserve">  </w:t>
      </w:r>
      <w:r w:rsidR="00780FD5">
        <w:rPr>
          <w:lang w:val="hr-HR"/>
        </w:rPr>
        <w:t xml:space="preserve">6.343,95 </w:t>
      </w:r>
      <w:r w:rsidRPr="00CF321C">
        <w:rPr>
          <w:rFonts w:cstheme="minorHAnsi"/>
          <w:lang w:val="hr-HR"/>
        </w:rPr>
        <w:t>eura</w:t>
      </w:r>
    </w:p>
    <w:p w14:paraId="50B8F222" w14:textId="46A5CC28" w:rsidR="00CF321C" w:rsidRPr="00CF321C" w:rsidRDefault="00CF321C" w:rsidP="0015150E">
      <w:p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 xml:space="preserve">Potraživanja za prihode od prodaje nefinancijske imovine u iznosu od </w:t>
      </w:r>
      <w:r w:rsidR="00555F03">
        <w:rPr>
          <w:rFonts w:cstheme="minorHAnsi"/>
          <w:lang w:val="hr-HR"/>
        </w:rPr>
        <w:t>5.405,86</w:t>
      </w:r>
      <w:r w:rsidRPr="00CF321C">
        <w:rPr>
          <w:rFonts w:cstheme="minorHAnsi"/>
          <w:lang w:val="hr-HR"/>
        </w:rPr>
        <w:t xml:space="preserve"> eura iskazana su slijedeća potraživanja:</w:t>
      </w:r>
    </w:p>
    <w:p w14:paraId="622DEA33" w14:textId="7569B7D7" w:rsidR="00CF321C" w:rsidRPr="00CF321C" w:rsidRDefault="00CF321C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 xml:space="preserve">Potraživanja za prihode od prodaje neproizvedene dug. imovine </w:t>
      </w:r>
      <w:r w:rsidRPr="00CF321C">
        <w:rPr>
          <w:rFonts w:cstheme="minorHAnsi"/>
          <w:lang w:val="hr-HR"/>
        </w:rPr>
        <w:tab/>
        <w:t xml:space="preserve">   </w:t>
      </w:r>
      <w:r w:rsidRPr="00CF321C">
        <w:rPr>
          <w:rFonts w:cstheme="minorHAnsi"/>
          <w:lang w:val="hr-HR"/>
        </w:rPr>
        <w:tab/>
      </w:r>
      <w:r w:rsidR="00BF08B9">
        <w:rPr>
          <w:rFonts w:cstheme="minorHAnsi"/>
          <w:lang w:val="hr-HR"/>
        </w:rPr>
        <w:tab/>
      </w:r>
      <w:r w:rsidR="0038076A">
        <w:rPr>
          <w:rFonts w:cstheme="minorHAnsi"/>
          <w:lang w:val="hr-HR"/>
        </w:rPr>
        <w:t xml:space="preserve">     </w:t>
      </w:r>
      <w:r w:rsidR="00FE12CB">
        <w:rPr>
          <w:rFonts w:cstheme="minorHAnsi"/>
          <w:lang w:val="hr-HR"/>
        </w:rPr>
        <w:t xml:space="preserve">   </w:t>
      </w:r>
      <w:r w:rsidR="0038076A">
        <w:rPr>
          <w:rFonts w:cstheme="minorHAnsi"/>
          <w:lang w:val="hr-HR"/>
        </w:rPr>
        <w:t xml:space="preserve"> 454,65</w:t>
      </w:r>
      <w:r w:rsidR="00555F03">
        <w:rPr>
          <w:rFonts w:ascii="Times New Roman" w:hAnsi="Times New Roman" w:cs="Times New Roman"/>
        </w:rPr>
        <w:t xml:space="preserve"> </w:t>
      </w:r>
      <w:r w:rsidRPr="00CF321C">
        <w:rPr>
          <w:rFonts w:cstheme="minorHAnsi"/>
          <w:lang w:val="hr-HR"/>
        </w:rPr>
        <w:t>eura</w:t>
      </w:r>
    </w:p>
    <w:p w14:paraId="167E9D4B" w14:textId="722346C0" w:rsidR="00CF321C" w:rsidRDefault="00CF321C" w:rsidP="0015150E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CF321C">
        <w:rPr>
          <w:rFonts w:cstheme="minorHAnsi"/>
          <w:lang w:val="hr-HR"/>
        </w:rPr>
        <w:t>Potraživanja za prihode od prodaje građevinskih objekata</w:t>
      </w:r>
      <w:r w:rsidRPr="00CF321C">
        <w:rPr>
          <w:rFonts w:cstheme="minorHAnsi"/>
          <w:lang w:val="hr-HR"/>
        </w:rPr>
        <w:tab/>
      </w:r>
      <w:r w:rsidRPr="00CF321C">
        <w:rPr>
          <w:rFonts w:cstheme="minorHAnsi"/>
          <w:lang w:val="hr-HR"/>
        </w:rPr>
        <w:tab/>
      </w:r>
      <w:r w:rsidR="00BF08B9">
        <w:rPr>
          <w:rFonts w:cstheme="minorHAnsi"/>
          <w:lang w:val="hr-HR"/>
        </w:rPr>
        <w:tab/>
      </w:r>
      <w:r w:rsidR="00555F03">
        <w:rPr>
          <w:rFonts w:cstheme="minorHAnsi"/>
          <w:lang w:val="hr-HR"/>
        </w:rPr>
        <w:t xml:space="preserve">  </w:t>
      </w:r>
      <w:r w:rsidR="00FE12CB">
        <w:rPr>
          <w:rFonts w:cstheme="minorHAnsi"/>
          <w:lang w:val="hr-HR"/>
        </w:rPr>
        <w:t xml:space="preserve">   </w:t>
      </w:r>
      <w:r w:rsidR="00555F03">
        <w:rPr>
          <w:rFonts w:cstheme="minorHAnsi"/>
          <w:lang w:val="hr-HR"/>
        </w:rPr>
        <w:t xml:space="preserve"> </w:t>
      </w:r>
      <w:r w:rsidR="0038076A">
        <w:rPr>
          <w:rFonts w:cstheme="minorHAnsi"/>
          <w:lang w:val="hr-HR"/>
        </w:rPr>
        <w:t>4.857,15</w:t>
      </w:r>
      <w:r w:rsidR="00555F03">
        <w:rPr>
          <w:rFonts w:cstheme="minorHAnsi"/>
          <w:lang w:val="hr-HR"/>
        </w:rPr>
        <w:t xml:space="preserve"> </w:t>
      </w:r>
      <w:r w:rsidRPr="00CF321C">
        <w:rPr>
          <w:rFonts w:cstheme="minorHAnsi"/>
          <w:lang w:val="hr-HR"/>
        </w:rPr>
        <w:t>eura</w:t>
      </w:r>
    </w:p>
    <w:p w14:paraId="2C583442" w14:textId="5E9717E7" w:rsidR="00DA5A41" w:rsidRDefault="00CF321C" w:rsidP="0015150E">
      <w:p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Stanje </w:t>
      </w:r>
      <w:r w:rsidRPr="00CF321C">
        <w:rPr>
          <w:rFonts w:cstheme="minorHAnsi"/>
          <w:i/>
          <w:iCs/>
          <w:u w:val="single"/>
          <w:lang w:val="hr-HR"/>
        </w:rPr>
        <w:t>nepodmirenih obveza</w:t>
      </w:r>
      <w:r>
        <w:rPr>
          <w:rFonts w:cstheme="minorHAnsi"/>
          <w:lang w:val="hr-HR"/>
        </w:rPr>
        <w:t xml:space="preserve"> na dan 31.12.202</w:t>
      </w:r>
      <w:r w:rsidR="00577B8D">
        <w:rPr>
          <w:rFonts w:cstheme="minorHAnsi"/>
          <w:lang w:val="hr-HR"/>
        </w:rPr>
        <w:t>5</w:t>
      </w:r>
      <w:r>
        <w:rPr>
          <w:rFonts w:cstheme="minorHAnsi"/>
          <w:lang w:val="hr-HR"/>
        </w:rPr>
        <w:t xml:space="preserve">. godine </w:t>
      </w:r>
      <w:r w:rsidR="00DA5A41">
        <w:rPr>
          <w:rFonts w:cstheme="minorHAnsi"/>
          <w:lang w:val="hr-HR"/>
        </w:rPr>
        <w:t xml:space="preserve">iznosilo je </w:t>
      </w:r>
      <w:r w:rsidR="00684BF3">
        <w:rPr>
          <w:rFonts w:cstheme="minorHAnsi"/>
          <w:lang w:val="hr-HR"/>
        </w:rPr>
        <w:t xml:space="preserve">3.581.548,84 </w:t>
      </w:r>
      <w:r w:rsidR="00DA5A41">
        <w:rPr>
          <w:rFonts w:cstheme="minorHAnsi"/>
          <w:lang w:val="hr-HR"/>
        </w:rPr>
        <w:t xml:space="preserve">eura i od toga dospjele </w:t>
      </w:r>
      <w:r w:rsidR="008A5A7C">
        <w:rPr>
          <w:rFonts w:cstheme="minorHAnsi"/>
          <w:lang w:val="hr-HR"/>
        </w:rPr>
        <w:t>49.514,12</w:t>
      </w:r>
      <w:r w:rsidR="00DA5A41">
        <w:rPr>
          <w:rFonts w:cstheme="minorHAnsi"/>
          <w:lang w:val="hr-HR"/>
        </w:rPr>
        <w:t xml:space="preserve"> eura i nedospjele </w:t>
      </w:r>
      <w:r w:rsidR="008A5A7C">
        <w:rPr>
          <w:rFonts w:cstheme="minorHAnsi"/>
          <w:lang w:val="hr-HR"/>
        </w:rPr>
        <w:t>3.542.494,90</w:t>
      </w:r>
      <w:r w:rsidR="00DA5A41">
        <w:rPr>
          <w:rFonts w:cstheme="minorHAnsi"/>
          <w:lang w:val="hr-HR"/>
        </w:rPr>
        <w:t xml:space="preserve"> eura.</w:t>
      </w:r>
      <w:r w:rsidR="00555F03">
        <w:rPr>
          <w:rFonts w:cstheme="minorHAnsi"/>
          <w:lang w:val="hr-HR"/>
        </w:rPr>
        <w:t xml:space="preserve"> Od iskazanih ukupnih obveza na Općinu Dubrava se odnosi </w:t>
      </w:r>
      <w:r w:rsidR="00684BF3">
        <w:rPr>
          <w:rFonts w:cstheme="minorHAnsi"/>
          <w:lang w:val="hr-HR"/>
        </w:rPr>
        <w:t xml:space="preserve">3.578.093,75 </w:t>
      </w:r>
      <w:r w:rsidR="00555F03">
        <w:rPr>
          <w:rFonts w:cstheme="minorHAnsi"/>
          <w:lang w:val="hr-HR"/>
        </w:rPr>
        <w:t xml:space="preserve">eura, a na proračunskog korisnika Dječji vrtić Dubrava </w:t>
      </w:r>
      <w:r w:rsidR="00684BF3">
        <w:rPr>
          <w:rFonts w:cstheme="minorHAnsi"/>
          <w:lang w:val="hr-HR"/>
        </w:rPr>
        <w:t>3.455,09</w:t>
      </w:r>
      <w:r w:rsidR="00555F03">
        <w:rPr>
          <w:rFonts w:cstheme="minorHAnsi"/>
          <w:lang w:val="hr-HR"/>
        </w:rPr>
        <w:t xml:space="preserve"> eura.</w:t>
      </w:r>
    </w:p>
    <w:p w14:paraId="67FB3E9C" w14:textId="5595DE5C" w:rsidR="002A09BA" w:rsidRDefault="0052542F" w:rsidP="00CF321C">
      <w:pPr>
        <w:jc w:val="both"/>
        <w:rPr>
          <w:rFonts w:cstheme="minorHAnsi"/>
          <w:lang w:val="hr-HR"/>
        </w:rPr>
      </w:pPr>
      <w:r w:rsidRPr="0052542F">
        <w:rPr>
          <w:rFonts w:cstheme="minorHAnsi"/>
          <w:i/>
          <w:iCs/>
          <w:u w:val="single"/>
          <w:lang w:val="hr-HR"/>
        </w:rPr>
        <w:t>Potencijalnih obveza po sudskim sporovima</w:t>
      </w:r>
      <w:r>
        <w:rPr>
          <w:rFonts w:cstheme="minorHAnsi"/>
          <w:lang w:val="hr-HR"/>
        </w:rPr>
        <w:t xml:space="preserve"> na kraju izvještajnog razdoblja nije bilo.</w:t>
      </w:r>
    </w:p>
    <w:p w14:paraId="10699AEE" w14:textId="707BD92B" w:rsidR="0052542F" w:rsidRPr="002A09BA" w:rsidRDefault="0052542F" w:rsidP="0052542F">
      <w:pPr>
        <w:jc w:val="center"/>
        <w:rPr>
          <w:rFonts w:cstheme="minorHAnsi"/>
          <w:b/>
          <w:bCs/>
          <w:lang w:val="hr-HR"/>
        </w:rPr>
      </w:pPr>
      <w:r w:rsidRPr="002A09BA">
        <w:rPr>
          <w:rFonts w:cstheme="minorHAnsi"/>
          <w:b/>
          <w:bCs/>
          <w:lang w:val="hr-HR"/>
        </w:rPr>
        <w:t>ZAVRŠNE ODREDBE</w:t>
      </w:r>
    </w:p>
    <w:p w14:paraId="78D43CA9" w14:textId="7151D193" w:rsidR="0052542F" w:rsidRPr="002A09BA" w:rsidRDefault="002A09BA" w:rsidP="0052542F">
      <w:pPr>
        <w:jc w:val="center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>članak</w:t>
      </w:r>
      <w:r w:rsidR="0052542F" w:rsidRPr="002A09BA">
        <w:rPr>
          <w:rFonts w:cstheme="minorHAnsi"/>
          <w:b/>
          <w:bCs/>
          <w:lang w:val="hr-HR"/>
        </w:rPr>
        <w:t xml:space="preserve"> 6.</w:t>
      </w:r>
    </w:p>
    <w:p w14:paraId="30B7C821" w14:textId="68A45482" w:rsidR="0052542F" w:rsidRDefault="0052542F" w:rsidP="0015150E">
      <w:p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Ovo Obrazloženje godišnjeg izvještaja o izvršenju proračuna za 202</w:t>
      </w:r>
      <w:r w:rsidR="001E1ABF">
        <w:rPr>
          <w:rFonts w:cstheme="minorHAnsi"/>
          <w:lang w:val="hr-HR"/>
        </w:rPr>
        <w:t>5</w:t>
      </w:r>
      <w:r>
        <w:rPr>
          <w:rFonts w:cstheme="minorHAnsi"/>
          <w:lang w:val="hr-HR"/>
        </w:rPr>
        <w:t>. godinu sastavni je dio Izvještaja o izvršenju proračuna te će zajedno s Izvještajem objaviti u Glasniku Zagrebačke županije i na Internet stranici Općine Dubrava.</w:t>
      </w:r>
    </w:p>
    <w:p w14:paraId="49B13A38" w14:textId="77777777" w:rsidR="000E0647" w:rsidRDefault="000E0647" w:rsidP="000E0647">
      <w:pPr>
        <w:spacing w:after="0" w:line="300" w:lineRule="auto"/>
        <w:jc w:val="both"/>
        <w:rPr>
          <w:rFonts w:ascii="Sylfaen" w:eastAsia="Times New Roman" w:hAnsi="Sylfaen" w:cs="Times New Roman"/>
          <w:bCs/>
          <w:lang w:val="it-IT"/>
        </w:rPr>
      </w:pPr>
      <w:r>
        <w:rPr>
          <w:rFonts w:ascii="Sylfaen" w:eastAsia="Times New Roman" w:hAnsi="Sylfaen" w:cs="Times New Roman"/>
          <w:bCs/>
          <w:lang w:val="it-IT"/>
        </w:rPr>
        <w:t>KLASA: 400-06/26-01/4</w:t>
      </w:r>
    </w:p>
    <w:p w14:paraId="2F13447F" w14:textId="77777777" w:rsidR="000E0647" w:rsidRDefault="000E0647" w:rsidP="000E0647">
      <w:pPr>
        <w:spacing w:after="0" w:line="300" w:lineRule="auto"/>
        <w:jc w:val="both"/>
        <w:rPr>
          <w:rFonts w:ascii="Sylfaen" w:eastAsia="Times New Roman" w:hAnsi="Sylfaen" w:cs="Times New Roman"/>
          <w:bCs/>
          <w:lang w:val="it-IT"/>
        </w:rPr>
      </w:pPr>
      <w:r>
        <w:rPr>
          <w:rFonts w:ascii="Sylfaen" w:eastAsia="Times New Roman" w:hAnsi="Sylfaen" w:cs="Times New Roman"/>
          <w:bCs/>
          <w:lang w:val="it-IT"/>
        </w:rPr>
        <w:t>URBROJ: 238-5/01-26-2</w:t>
      </w:r>
    </w:p>
    <w:p w14:paraId="113780ED" w14:textId="77777777" w:rsidR="000E0647" w:rsidRDefault="000E0647" w:rsidP="000E0647">
      <w:pPr>
        <w:spacing w:after="0" w:line="300" w:lineRule="auto"/>
        <w:jc w:val="both"/>
        <w:rPr>
          <w:rFonts w:ascii="Sylfaen" w:eastAsia="Times New Roman" w:hAnsi="Sylfaen" w:cs="Times New Roman"/>
          <w:bCs/>
          <w:lang w:val="it-IT"/>
        </w:rPr>
      </w:pPr>
      <w:r>
        <w:rPr>
          <w:rFonts w:ascii="Sylfaen" w:eastAsia="Times New Roman" w:hAnsi="Sylfaen" w:cs="Times New Roman"/>
          <w:bCs/>
          <w:lang w:val="it-IT"/>
        </w:rPr>
        <w:t>Dubrava, 30. travnja 2026. godine</w:t>
      </w:r>
    </w:p>
    <w:p w14:paraId="1959ADD6" w14:textId="77777777" w:rsidR="000E0647" w:rsidRDefault="000E0647" w:rsidP="000E0647">
      <w:pPr>
        <w:spacing w:after="0"/>
        <w:jc w:val="center"/>
        <w:rPr>
          <w:rFonts w:ascii="Sylfaen" w:eastAsia="Times New Roman" w:hAnsi="Sylfaen" w:cs="Times New Roman"/>
          <w:bCs/>
          <w:lang w:val="it-IT"/>
        </w:rPr>
      </w:pPr>
      <w:r>
        <w:rPr>
          <w:rFonts w:ascii="Sylfaen" w:eastAsia="Times New Roman" w:hAnsi="Sylfaen" w:cs="Times New Roman"/>
          <w:bCs/>
          <w:lang w:val="it-IT"/>
        </w:rPr>
        <w:t>REPUBLIKA HRVATSKA</w:t>
      </w:r>
    </w:p>
    <w:p w14:paraId="206EA4E4" w14:textId="77777777" w:rsidR="000E0647" w:rsidRDefault="000E0647" w:rsidP="000E0647">
      <w:pPr>
        <w:spacing w:after="0"/>
        <w:jc w:val="center"/>
        <w:rPr>
          <w:rFonts w:ascii="Sylfaen" w:eastAsia="Times New Roman" w:hAnsi="Sylfaen" w:cs="Times New Roman"/>
          <w:bCs/>
          <w:lang w:val="it-IT"/>
        </w:rPr>
      </w:pPr>
      <w:r>
        <w:rPr>
          <w:rFonts w:ascii="Sylfaen" w:eastAsia="Times New Roman" w:hAnsi="Sylfaen" w:cs="Times New Roman"/>
          <w:bCs/>
          <w:lang w:val="it-IT"/>
        </w:rPr>
        <w:t>ZAGREBAČKA ŽUPANIJA</w:t>
      </w:r>
    </w:p>
    <w:p w14:paraId="4FB87081" w14:textId="77777777" w:rsidR="000E0647" w:rsidRDefault="000E0647" w:rsidP="000E0647">
      <w:pPr>
        <w:spacing w:after="0"/>
        <w:jc w:val="center"/>
        <w:rPr>
          <w:rFonts w:ascii="Sylfaen" w:eastAsia="Times New Roman" w:hAnsi="Sylfaen" w:cs="Times New Roman"/>
          <w:bCs/>
          <w:lang w:val="it-IT"/>
        </w:rPr>
      </w:pPr>
      <w:r>
        <w:rPr>
          <w:rFonts w:ascii="Sylfaen" w:eastAsia="Times New Roman" w:hAnsi="Sylfaen" w:cs="Times New Roman"/>
          <w:bCs/>
          <w:lang w:val="it-IT"/>
        </w:rPr>
        <w:t>OPĆINA DUBRAVA</w:t>
      </w:r>
    </w:p>
    <w:p w14:paraId="1FB3C182" w14:textId="60ADB79C" w:rsidR="00B8116F" w:rsidRPr="000E0647" w:rsidRDefault="000E0647" w:rsidP="000E0647">
      <w:pPr>
        <w:spacing w:after="0"/>
        <w:jc w:val="center"/>
        <w:rPr>
          <w:rFonts w:ascii="Sylfaen" w:eastAsia="Times New Roman" w:hAnsi="Sylfaen" w:cs="Times New Roman"/>
          <w:bCs/>
          <w:lang w:val="it-IT"/>
        </w:rPr>
      </w:pPr>
      <w:r>
        <w:rPr>
          <w:rFonts w:ascii="Sylfaen" w:eastAsia="Times New Roman" w:hAnsi="Sylfaen" w:cs="Times New Roman"/>
          <w:bCs/>
          <w:lang w:val="it-IT"/>
        </w:rPr>
        <w:t xml:space="preserve">                                                                                                               </w:t>
      </w:r>
      <w:r>
        <w:rPr>
          <w:rFonts w:ascii="Sylfaen" w:eastAsia="Times New Roman" w:hAnsi="Sylfaen" w:cs="Times New Roman"/>
          <w:bCs/>
          <w:lang w:val="it-IT"/>
        </w:rPr>
        <w:t>Općinsko vijeće</w:t>
      </w:r>
      <w:r>
        <w:rPr>
          <w:rFonts w:ascii="Sylfaen" w:eastAsia="Times New Roman" w:hAnsi="Sylfaen" w:cs="Times New Roman"/>
          <w:bCs/>
          <w:lang w:val="it-IT"/>
        </w:rPr>
        <w:t xml:space="preserve"> </w:t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  <w:t xml:space="preserve">         </w:t>
      </w:r>
      <w:r>
        <w:rPr>
          <w:rFonts w:ascii="Sylfaen" w:eastAsia="Times New Roman" w:hAnsi="Sylfaen" w:cs="Times New Roman"/>
          <w:bCs/>
          <w:lang w:val="it-IT"/>
        </w:rPr>
        <w:t>PREDSJEDNIK:</w:t>
      </w:r>
      <w:r>
        <w:rPr>
          <w:rFonts w:ascii="Sylfaen" w:eastAsia="Times New Roman" w:hAnsi="Sylfaen" w:cs="Times New Roman"/>
          <w:bCs/>
          <w:lang w:val="it-IT"/>
        </w:rPr>
        <w:t xml:space="preserve">    </w:t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</w:r>
      <w:r>
        <w:rPr>
          <w:rFonts w:ascii="Sylfaen" w:eastAsia="Times New Roman" w:hAnsi="Sylfaen" w:cs="Times New Roman"/>
          <w:bCs/>
          <w:lang w:val="it-IT"/>
        </w:rPr>
        <w:tab/>
        <w:t xml:space="preserve">    </w:t>
      </w:r>
      <w:r>
        <w:rPr>
          <w:rFonts w:ascii="Sylfaen" w:eastAsia="Times New Roman" w:hAnsi="Sylfaen" w:cs="Times New Roman"/>
          <w:bCs/>
          <w:lang w:val="it-IT"/>
        </w:rPr>
        <w:t>Darko Rajtar</w:t>
      </w:r>
    </w:p>
    <w:sectPr w:rsidR="00B8116F" w:rsidRPr="000E0647" w:rsidSect="001226C9">
      <w:footerReference w:type="default" r:id="rId17"/>
      <w:headerReference w:type="first" r:id="rId18"/>
      <w:pgSz w:w="16838" w:h="11906" w:orient="landscape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08433" w14:textId="77777777" w:rsidR="00727A41" w:rsidRDefault="00727A41" w:rsidP="006450DB">
      <w:pPr>
        <w:spacing w:after="0" w:line="240" w:lineRule="auto"/>
      </w:pPr>
      <w:r>
        <w:separator/>
      </w:r>
    </w:p>
  </w:endnote>
  <w:endnote w:type="continuationSeparator" w:id="0">
    <w:p w14:paraId="468A9638" w14:textId="77777777" w:rsidR="00727A41" w:rsidRDefault="00727A41" w:rsidP="0064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821946"/>
      <w:docPartObj>
        <w:docPartGallery w:val="Page Numbers (Bottom of Page)"/>
        <w:docPartUnique/>
      </w:docPartObj>
    </w:sdtPr>
    <w:sdtEndPr/>
    <w:sdtContent>
      <w:p w14:paraId="754036E6" w14:textId="1500BDF7" w:rsidR="00884C89" w:rsidRDefault="00884C8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0F28742" w14:textId="77777777" w:rsidR="00884C89" w:rsidRDefault="00884C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91D05" w14:textId="77777777" w:rsidR="00727A41" w:rsidRDefault="00727A41" w:rsidP="006450DB">
      <w:pPr>
        <w:spacing w:after="0" w:line="240" w:lineRule="auto"/>
      </w:pPr>
      <w:r>
        <w:separator/>
      </w:r>
    </w:p>
  </w:footnote>
  <w:footnote w:type="continuationSeparator" w:id="0">
    <w:p w14:paraId="4514471D" w14:textId="77777777" w:rsidR="00727A41" w:rsidRDefault="00727A41" w:rsidP="0064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D1CC" w14:textId="77777777" w:rsidR="00C53339" w:rsidRDefault="00C53339" w:rsidP="00C53339">
    <w:pPr>
      <w:spacing w:after="0" w:line="240" w:lineRule="auto"/>
    </w:pPr>
    <w:r>
      <w:t>Općina Dubrava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FA16DED" w14:textId="2C08DB11" w:rsidR="00C53339" w:rsidRDefault="000E0647" w:rsidP="00C53339">
    <w:pPr>
      <w:spacing w:after="0" w:line="240" w:lineRule="auto"/>
    </w:pPr>
    <w:r>
      <w:t>Ulica b</w:t>
    </w:r>
    <w:r w:rsidR="00C53339">
      <w:t>raće Radić 2</w:t>
    </w:r>
    <w:r w:rsidR="00C53339">
      <w:tab/>
    </w:r>
    <w:r w:rsidR="00C53339">
      <w:tab/>
    </w:r>
    <w:r w:rsidR="00C53339">
      <w:tab/>
    </w:r>
    <w:r w:rsidR="00C53339">
      <w:tab/>
    </w:r>
    <w:r w:rsidR="00C53339">
      <w:tab/>
    </w:r>
    <w:r w:rsidR="00C53339">
      <w:tab/>
    </w:r>
    <w:r w:rsidR="00C53339">
      <w:tab/>
    </w:r>
    <w:r w:rsidR="00C53339">
      <w:tab/>
    </w:r>
    <w:r w:rsidR="00C53339">
      <w:tab/>
    </w:r>
    <w:r w:rsidR="00C53339">
      <w:tab/>
    </w:r>
  </w:p>
  <w:p w14:paraId="7F030FBC" w14:textId="1DE1D2C2" w:rsidR="00C53339" w:rsidRDefault="00C53339" w:rsidP="00C53339">
    <w:pPr>
      <w:spacing w:after="0" w:line="240" w:lineRule="auto"/>
    </w:pPr>
    <w:r>
      <w:t>10342  Dubrava</w:t>
    </w:r>
  </w:p>
  <w:p w14:paraId="337F9C0E" w14:textId="77777777" w:rsidR="00C53339" w:rsidRDefault="00C53339" w:rsidP="00C53339">
    <w:pPr>
      <w:pStyle w:val="Zaglavlje"/>
    </w:pPr>
    <w:r>
      <w:t>OIB: 37279932922</w:t>
    </w:r>
  </w:p>
  <w:p w14:paraId="066A8407" w14:textId="77777777" w:rsidR="00C53339" w:rsidRDefault="00C533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C30E2"/>
    <w:multiLevelType w:val="hybridMultilevel"/>
    <w:tmpl w:val="B248EF5E"/>
    <w:lvl w:ilvl="0" w:tplc="084A7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4589"/>
    <w:multiLevelType w:val="hybridMultilevel"/>
    <w:tmpl w:val="61D0E824"/>
    <w:lvl w:ilvl="0" w:tplc="7B40C6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BD"/>
    <w:rsid w:val="00057ADE"/>
    <w:rsid w:val="000E0647"/>
    <w:rsid w:val="000E13BD"/>
    <w:rsid w:val="001072DC"/>
    <w:rsid w:val="001116E1"/>
    <w:rsid w:val="001226C9"/>
    <w:rsid w:val="0015150E"/>
    <w:rsid w:val="00156A86"/>
    <w:rsid w:val="001645F8"/>
    <w:rsid w:val="00170FFE"/>
    <w:rsid w:val="001746E6"/>
    <w:rsid w:val="001823C1"/>
    <w:rsid w:val="001A0DFB"/>
    <w:rsid w:val="001A0F5B"/>
    <w:rsid w:val="001C55E8"/>
    <w:rsid w:val="001D608A"/>
    <w:rsid w:val="001D62E2"/>
    <w:rsid w:val="001E1ABF"/>
    <w:rsid w:val="0020334C"/>
    <w:rsid w:val="002201C0"/>
    <w:rsid w:val="00226DFB"/>
    <w:rsid w:val="00241993"/>
    <w:rsid w:val="0029038E"/>
    <w:rsid w:val="002946B0"/>
    <w:rsid w:val="002A09BA"/>
    <w:rsid w:val="002B3418"/>
    <w:rsid w:val="002B4242"/>
    <w:rsid w:val="002D71BE"/>
    <w:rsid w:val="002E569B"/>
    <w:rsid w:val="002F7997"/>
    <w:rsid w:val="0034300F"/>
    <w:rsid w:val="00350912"/>
    <w:rsid w:val="0038076A"/>
    <w:rsid w:val="00393E3E"/>
    <w:rsid w:val="003A5CA2"/>
    <w:rsid w:val="003C5F46"/>
    <w:rsid w:val="003C7423"/>
    <w:rsid w:val="003C7BAC"/>
    <w:rsid w:val="003D4208"/>
    <w:rsid w:val="003D4C6D"/>
    <w:rsid w:val="00400143"/>
    <w:rsid w:val="00406AAD"/>
    <w:rsid w:val="00446D0D"/>
    <w:rsid w:val="00464A7F"/>
    <w:rsid w:val="0048764F"/>
    <w:rsid w:val="00496494"/>
    <w:rsid w:val="004B3AB7"/>
    <w:rsid w:val="004C5CD9"/>
    <w:rsid w:val="004C7A37"/>
    <w:rsid w:val="00500802"/>
    <w:rsid w:val="005067A8"/>
    <w:rsid w:val="0052542F"/>
    <w:rsid w:val="005400C6"/>
    <w:rsid w:val="00555F03"/>
    <w:rsid w:val="00563E67"/>
    <w:rsid w:val="00577B8D"/>
    <w:rsid w:val="00591FE7"/>
    <w:rsid w:val="00592DFC"/>
    <w:rsid w:val="00597BA7"/>
    <w:rsid w:val="005A26AD"/>
    <w:rsid w:val="005B1D7C"/>
    <w:rsid w:val="005C1C93"/>
    <w:rsid w:val="0061086D"/>
    <w:rsid w:val="006170AC"/>
    <w:rsid w:val="00623749"/>
    <w:rsid w:val="00632ECE"/>
    <w:rsid w:val="0064332C"/>
    <w:rsid w:val="006450DB"/>
    <w:rsid w:val="00677C2A"/>
    <w:rsid w:val="00684BF3"/>
    <w:rsid w:val="00690583"/>
    <w:rsid w:val="00692FB2"/>
    <w:rsid w:val="006A1898"/>
    <w:rsid w:val="006E4A29"/>
    <w:rsid w:val="006E50BD"/>
    <w:rsid w:val="00727A41"/>
    <w:rsid w:val="00733A3D"/>
    <w:rsid w:val="00735AD2"/>
    <w:rsid w:val="00737B78"/>
    <w:rsid w:val="00780FD5"/>
    <w:rsid w:val="00784AD2"/>
    <w:rsid w:val="007A2F7D"/>
    <w:rsid w:val="007D42F2"/>
    <w:rsid w:val="007D682E"/>
    <w:rsid w:val="007E3793"/>
    <w:rsid w:val="007E40CA"/>
    <w:rsid w:val="00823E86"/>
    <w:rsid w:val="00877671"/>
    <w:rsid w:val="00884C89"/>
    <w:rsid w:val="008A5A7C"/>
    <w:rsid w:val="008B5A72"/>
    <w:rsid w:val="008C05D2"/>
    <w:rsid w:val="008C3BB2"/>
    <w:rsid w:val="008D299B"/>
    <w:rsid w:val="00913A0A"/>
    <w:rsid w:val="009313B7"/>
    <w:rsid w:val="0096464E"/>
    <w:rsid w:val="009807C8"/>
    <w:rsid w:val="009812D9"/>
    <w:rsid w:val="00994DD3"/>
    <w:rsid w:val="009956BD"/>
    <w:rsid w:val="009A12B5"/>
    <w:rsid w:val="009A69D0"/>
    <w:rsid w:val="009B4260"/>
    <w:rsid w:val="009C646A"/>
    <w:rsid w:val="009C74CE"/>
    <w:rsid w:val="009D0DE9"/>
    <w:rsid w:val="009D17DE"/>
    <w:rsid w:val="009D7058"/>
    <w:rsid w:val="009E5308"/>
    <w:rsid w:val="009E68B7"/>
    <w:rsid w:val="00A216F2"/>
    <w:rsid w:val="00A21BD6"/>
    <w:rsid w:val="00A25823"/>
    <w:rsid w:val="00A27368"/>
    <w:rsid w:val="00A513DA"/>
    <w:rsid w:val="00A7235D"/>
    <w:rsid w:val="00A83157"/>
    <w:rsid w:val="00AB3E6B"/>
    <w:rsid w:val="00AD48BE"/>
    <w:rsid w:val="00B200B6"/>
    <w:rsid w:val="00B522EF"/>
    <w:rsid w:val="00B54571"/>
    <w:rsid w:val="00B60CD2"/>
    <w:rsid w:val="00B8116F"/>
    <w:rsid w:val="00BA5961"/>
    <w:rsid w:val="00BC1661"/>
    <w:rsid w:val="00BC1778"/>
    <w:rsid w:val="00BC6DD8"/>
    <w:rsid w:val="00BD0889"/>
    <w:rsid w:val="00BD22FA"/>
    <w:rsid w:val="00BF08B9"/>
    <w:rsid w:val="00C05CB5"/>
    <w:rsid w:val="00C32F5A"/>
    <w:rsid w:val="00C44A71"/>
    <w:rsid w:val="00C53339"/>
    <w:rsid w:val="00C82BBF"/>
    <w:rsid w:val="00C908B0"/>
    <w:rsid w:val="00C910BD"/>
    <w:rsid w:val="00CC5327"/>
    <w:rsid w:val="00CD59CF"/>
    <w:rsid w:val="00CF321C"/>
    <w:rsid w:val="00D35656"/>
    <w:rsid w:val="00D60141"/>
    <w:rsid w:val="00D66B95"/>
    <w:rsid w:val="00D76274"/>
    <w:rsid w:val="00D80A7A"/>
    <w:rsid w:val="00D9145C"/>
    <w:rsid w:val="00DA5A41"/>
    <w:rsid w:val="00DB58BC"/>
    <w:rsid w:val="00DC2068"/>
    <w:rsid w:val="00DC3039"/>
    <w:rsid w:val="00DE5166"/>
    <w:rsid w:val="00DF2F93"/>
    <w:rsid w:val="00E129AA"/>
    <w:rsid w:val="00E22C2A"/>
    <w:rsid w:val="00E31235"/>
    <w:rsid w:val="00E32DDA"/>
    <w:rsid w:val="00E56DB6"/>
    <w:rsid w:val="00E716DC"/>
    <w:rsid w:val="00E87D2F"/>
    <w:rsid w:val="00EA4AD3"/>
    <w:rsid w:val="00EA6AF0"/>
    <w:rsid w:val="00EE1608"/>
    <w:rsid w:val="00F027E8"/>
    <w:rsid w:val="00F11A7E"/>
    <w:rsid w:val="00F46F47"/>
    <w:rsid w:val="00F50945"/>
    <w:rsid w:val="00F7181D"/>
    <w:rsid w:val="00F72C64"/>
    <w:rsid w:val="00F739BB"/>
    <w:rsid w:val="00F75D98"/>
    <w:rsid w:val="00F762FE"/>
    <w:rsid w:val="00F85699"/>
    <w:rsid w:val="00F927AD"/>
    <w:rsid w:val="00F92D72"/>
    <w:rsid w:val="00FA2BFB"/>
    <w:rsid w:val="00FB3A37"/>
    <w:rsid w:val="00FE117C"/>
    <w:rsid w:val="00FE12CB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669A2"/>
  <w15:chartTrackingRefBased/>
  <w15:docId w15:val="{7C87E8F2-E5F4-472C-923F-7E6FEAC7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4C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4C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4C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4C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4C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4C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4C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4C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4C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50DB"/>
  </w:style>
  <w:style w:type="paragraph" w:styleId="Podnoje">
    <w:name w:val="footer"/>
    <w:basedOn w:val="Normal"/>
    <w:link w:val="PodnojeChar"/>
    <w:uiPriority w:val="99"/>
    <w:unhideWhenUsed/>
    <w:rsid w:val="0064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50DB"/>
  </w:style>
  <w:style w:type="character" w:styleId="Hiperveza">
    <w:name w:val="Hyperlink"/>
    <w:basedOn w:val="Zadanifontodlomka"/>
    <w:uiPriority w:val="99"/>
    <w:semiHidden/>
    <w:unhideWhenUsed/>
    <w:rsid w:val="00A2736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27368"/>
    <w:rPr>
      <w:color w:val="954F72"/>
      <w:u w:val="single"/>
    </w:rPr>
  </w:style>
  <w:style w:type="paragraph" w:customStyle="1" w:styleId="msonormal0">
    <w:name w:val="msonormal"/>
    <w:basedOn w:val="Normal"/>
    <w:rsid w:val="00A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A2736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A27368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A27368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A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Reetkatablice">
    <w:name w:val="Table Grid"/>
    <w:basedOn w:val="Obinatablica"/>
    <w:uiPriority w:val="39"/>
    <w:rsid w:val="00A2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93E3E"/>
    <w:pPr>
      <w:ind w:left="720"/>
      <w:contextualSpacing/>
    </w:pPr>
  </w:style>
  <w:style w:type="paragraph" w:customStyle="1" w:styleId="xl73">
    <w:name w:val="xl73"/>
    <w:basedOn w:val="Normal"/>
    <w:rsid w:val="00877671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877671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877671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877671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7">
    <w:name w:val="xl77"/>
    <w:basedOn w:val="Normal"/>
    <w:rsid w:val="00877671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877671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877671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877671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1">
    <w:name w:val="xl81"/>
    <w:basedOn w:val="Normal"/>
    <w:rsid w:val="00877671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2">
    <w:name w:val="xl82"/>
    <w:basedOn w:val="Normal"/>
    <w:rsid w:val="00877671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877671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4">
    <w:name w:val="xl84"/>
    <w:basedOn w:val="Normal"/>
    <w:rsid w:val="00877671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5">
    <w:name w:val="xl85"/>
    <w:basedOn w:val="Normal"/>
    <w:rsid w:val="00877671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884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4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4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4C89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4C89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4C8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4C8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4C8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4C89"/>
    <w:rPr>
      <w:rFonts w:eastAsiaTheme="majorEastAsia" w:cstheme="majorBidi"/>
      <w:color w:val="272727" w:themeColor="text1" w:themeTint="D8"/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884C89"/>
  </w:style>
  <w:style w:type="paragraph" w:styleId="Naslov">
    <w:name w:val="Title"/>
    <w:basedOn w:val="Normal"/>
    <w:next w:val="Normal"/>
    <w:link w:val="NaslovChar"/>
    <w:uiPriority w:val="10"/>
    <w:qFormat/>
    <w:rsid w:val="0088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4C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4C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84C89"/>
    <w:rPr>
      <w:i/>
      <w:iCs/>
      <w:color w:val="404040" w:themeColor="text1" w:themeTint="BF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884C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4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4C89"/>
    <w:rPr>
      <w:i/>
      <w:iCs/>
      <w:color w:val="2F5496" w:themeColor="accent1" w:themeShade="BF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884C89"/>
    <w:rPr>
      <w:b/>
      <w:bCs/>
      <w:smallCaps/>
      <w:color w:val="2F5496" w:themeColor="accent1" w:themeShade="BF"/>
      <w:spacing w:val="5"/>
    </w:rPr>
  </w:style>
  <w:style w:type="paragraph" w:customStyle="1" w:styleId="xl86">
    <w:name w:val="xl86"/>
    <w:basedOn w:val="Normal"/>
    <w:rsid w:val="00692F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customStyle="1" w:styleId="xl87">
    <w:name w:val="xl87"/>
    <w:basedOn w:val="Normal"/>
    <w:rsid w:val="00692F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</a:t>
            </a:r>
            <a:r>
              <a:rPr lang="hr-HR" baseline="0"/>
              <a:t> prihoda u 2025. godini</a:t>
            </a:r>
            <a:endParaRPr lang="en-US"/>
          </a:p>
        </c:rich>
      </c:tx>
      <c:layout>
        <c:manualLayout>
          <c:xMode val="edge"/>
          <c:yMode val="edge"/>
          <c:x val="0.36907828475423365"/>
          <c:y val="1.8472906403940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6527413563326755"/>
          <c:y val="8.7217391304347844E-2"/>
          <c:w val="0.29014659752896738"/>
          <c:h val="0.56893963254593161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AB-4770-8E11-53D0A7EEB5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AB-4770-8E11-53D0A7EEB5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DAB-4770-8E11-53D0A7EEB5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AB-4770-8E11-53D0A7EEB5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DAB-4770-8E11-53D0A7EEB5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DAB-4770-8E11-53D0A7EEB5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DAB-4770-8E11-53D0A7EEB5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DAB-4770-8E11-53D0A7EEB598}"/>
              </c:ext>
            </c:extLst>
          </c:dPt>
          <c:cat>
            <c:strRef>
              <c:f>List1!$A$2:$A$9</c:f>
              <c:strCache>
                <c:ptCount val="8"/>
                <c:pt idx="0">
                  <c:v>61 Prihodi od poreza                                                                                   </c:v>
                </c:pt>
                <c:pt idx="1">
                  <c:v>63 Pomoći iz inozemstva i od subjekata unutar općeg proračuna</c:v>
                </c:pt>
                <c:pt idx="2">
                  <c:v>64 Prihodi od imovine                                                                                  </c:v>
                </c:pt>
                <c:pt idx="3">
                  <c:v>65 Prihodi od upravnih i administrativnih pristojbi, pristojbi po posebnim propisima i naknada         </c:v>
                </c:pt>
                <c:pt idx="4">
                  <c:v>66 Prihodi od prodaje proizvoda i robe te pruženih usluga i prihodi od donacija                       </c:v>
                </c:pt>
                <c:pt idx="5">
                  <c:v>68 Kazne, upravne mjere i ostali prihodi                                                               </c:v>
                </c:pt>
                <c:pt idx="6">
                  <c:v>71 Prihodi od prodaje neproizvedene dugotrajne imovine                                                 </c:v>
                </c:pt>
                <c:pt idx="7">
                  <c:v>72 Prihodi od prodaje proizvedene dugotrajne imovine                                                   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1584606.66</c:v>
                </c:pt>
                <c:pt idx="1">
                  <c:v>2737189.99</c:v>
                </c:pt>
                <c:pt idx="2">
                  <c:v>70353.52</c:v>
                </c:pt>
                <c:pt idx="3">
                  <c:v>192828.05</c:v>
                </c:pt>
                <c:pt idx="4">
                  <c:v>50161</c:v>
                </c:pt>
                <c:pt idx="5" formatCode="General">
                  <c:v>477.83</c:v>
                </c:pt>
                <c:pt idx="6">
                  <c:v>85516.49</c:v>
                </c:pt>
                <c:pt idx="7" formatCode="General">
                  <c:v>364.98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D1-421E-BB9E-1F339F923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13365585953640496"/>
          <c:y val="0.64166427022709116"/>
          <c:w val="0.62773632231669485"/>
          <c:h val="0.338045874700445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baseline="0">
                <a:effectLst/>
              </a:rPr>
              <a:t>Izvršenje rashoda u 2025. godini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9512180208243203"/>
          <c:y val="0.10175582990397805"/>
          <c:w val="0.2918077932566121"/>
          <c:h val="0.54638907790847124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B6-43D6-AB59-02E1C48243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FB6-43D6-AB59-02E1C48243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FB6-43D6-AB59-02E1C48243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FB6-43D6-AB59-02E1C48243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FB6-43D6-AB59-02E1C48243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FB6-43D6-AB59-02E1C482435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FB6-43D6-AB59-02E1C482435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FB6-43D6-AB59-02E1C482435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FB6-43D6-AB59-02E1C482435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FB6-43D6-AB59-02E1C4824357}"/>
              </c:ext>
            </c:extLst>
          </c:dPt>
          <c:cat>
            <c:strRef>
              <c:f>List1!$A$2:$A$11</c:f>
              <c:strCache>
                <c:ptCount val="10"/>
                <c:pt idx="0">
                  <c:v>31 Rashodi za zaposlene                                                                                </c:v>
                </c:pt>
                <c:pt idx="1">
                  <c:v>32 Materijalni rashodi                                                                                 </c:v>
                </c:pt>
                <c:pt idx="2">
                  <c:v>34 Financijski rashodi                                                                                 </c:v>
                </c:pt>
                <c:pt idx="3">
                  <c:v>35 Subvencije                                                                                          </c:v>
                </c:pt>
                <c:pt idx="4">
                  <c:v>36 Pomoći dane u inozemstvo i unutar općeg proračuna</c:v>
                </c:pt>
                <c:pt idx="5">
                  <c:v>37 Naknade građanima i kućanstvima na temelju osiguranja i druge naknade                               </c:v>
                </c:pt>
                <c:pt idx="6">
                  <c:v>38 Ostali rashodi                                                                                      </c:v>
                </c:pt>
                <c:pt idx="7">
                  <c:v>41 Rashodi za nabavu neproizvedene dugotrajne imovine                                                  </c:v>
                </c:pt>
                <c:pt idx="8">
                  <c:v>42 Rashodi za nabavu proizvedene dugotrajne imovine                                                    </c:v>
                </c:pt>
                <c:pt idx="9">
                  <c:v>45 Rashodi za dodatna ulaganja na nefinancijskoj imovini                                               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589748.46</c:v>
                </c:pt>
                <c:pt idx="1">
                  <c:v>1375694.3</c:v>
                </c:pt>
                <c:pt idx="2">
                  <c:v>54242.26</c:v>
                </c:pt>
                <c:pt idx="3">
                  <c:v>6750</c:v>
                </c:pt>
                <c:pt idx="4">
                  <c:v>66330.61</c:v>
                </c:pt>
                <c:pt idx="5">
                  <c:v>292326.88</c:v>
                </c:pt>
                <c:pt idx="6">
                  <c:v>409880.54</c:v>
                </c:pt>
                <c:pt idx="7">
                  <c:v>46762.5</c:v>
                </c:pt>
                <c:pt idx="8">
                  <c:v>858141.22</c:v>
                </c:pt>
                <c:pt idx="9">
                  <c:v>2338459.1800000002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D0-434A-8A17-A5426A179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436762712353267E-2"/>
          <c:y val="0.50822721233919832"/>
          <c:w val="0.51561731706613601"/>
          <c:h val="0.458850976961213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 rashodi prema izvorima financiranja u 2025. godini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Opći prihodi i primici</c:v>
                </c:pt>
                <c:pt idx="1">
                  <c:v>Vlastiti prihodi</c:v>
                </c:pt>
                <c:pt idx="2">
                  <c:v>Prihodi za posebne namjene</c:v>
                </c:pt>
                <c:pt idx="3">
                  <c:v>Pomoći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1592189.05</c:v>
                </c:pt>
                <c:pt idx="1">
                  <c:v>178354.44</c:v>
                </c:pt>
                <c:pt idx="2">
                  <c:v>169205.65</c:v>
                </c:pt>
                <c:pt idx="3">
                  <c:v>2737189.99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DD-448C-BCEE-DDA937502C8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Opći prihodi i primici</c:v>
                </c:pt>
                <c:pt idx="1">
                  <c:v>Vlastiti prihodi</c:v>
                </c:pt>
                <c:pt idx="2">
                  <c:v>Prihodi za posebne namjene</c:v>
                </c:pt>
                <c:pt idx="3">
                  <c:v>Pomoći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2420272.7999999998</c:v>
                </c:pt>
                <c:pt idx="1">
                  <c:v>181732.01</c:v>
                </c:pt>
                <c:pt idx="2">
                  <c:v>169205.65</c:v>
                </c:pt>
                <c:pt idx="3">
                  <c:v>1076110.21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DD-448C-BCEE-DDA937502C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9444432"/>
        <c:axId val="619450552"/>
      </c:barChart>
      <c:catAx>
        <c:axId val="61944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9450552"/>
        <c:crosses val="autoZero"/>
        <c:auto val="1"/>
        <c:lblAlgn val="ctr"/>
        <c:lblOffset val="100"/>
        <c:noMultiLvlLbl val="0"/>
      </c:catAx>
      <c:valAx>
        <c:axId val="619450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944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prema funkcijskoj klasifikaciji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4A-42F7-A345-9B53C97314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4A-42F7-A345-9B53C97314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B4A-42F7-A345-9B53C97314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B4A-42F7-A345-9B53C97314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B4A-42F7-A345-9B53C97314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B4A-42F7-A345-9B53C973145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B4A-42F7-A345-9B53C973145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B4A-42F7-A345-9B53C973145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B4A-42F7-A345-9B53C9731451}"/>
              </c:ext>
            </c:extLst>
          </c:dPt>
          <c:cat>
            <c:strRef>
              <c:f>List1!$A$2:$A$10</c:f>
              <c:strCache>
                <c:ptCount val="9"/>
                <c:pt idx="0">
                  <c:v>Opće javne usluge</c:v>
                </c:pt>
                <c:pt idx="1">
                  <c:v>Javni redi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unapređenja stanovanja i zajednice</c:v>
                </c:pt>
                <c:pt idx="5">
                  <c:v>Zdravstvo</c:v>
                </c:pt>
                <c:pt idx="6">
                  <c:v>Rekreacija, kultura i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491953.56</c:v>
                </c:pt>
                <c:pt idx="1">
                  <c:v>122915.73</c:v>
                </c:pt>
                <c:pt idx="2">
                  <c:v>317714.09000000003</c:v>
                </c:pt>
                <c:pt idx="3">
                  <c:v>79983.75</c:v>
                </c:pt>
                <c:pt idx="4">
                  <c:v>675915.29</c:v>
                </c:pt>
                <c:pt idx="5">
                  <c:v>11700</c:v>
                </c:pt>
                <c:pt idx="6">
                  <c:v>999693.58</c:v>
                </c:pt>
                <c:pt idx="7">
                  <c:v>3043484.66</c:v>
                </c:pt>
                <c:pt idx="8">
                  <c:v>319777.95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67-408D-BF65-459B16D3D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3805337444977877E-2"/>
          <c:y val="0.77772916610679643"/>
          <c:w val="0.77262203738635338"/>
          <c:h val="0.20179301819354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50</Pages>
  <Words>15485</Words>
  <Characters>88265</Characters>
  <Application>Microsoft Office Word</Application>
  <DocSecurity>0</DocSecurity>
  <Lines>735</Lines>
  <Paragraphs>207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Korisnik3</cp:lastModifiedBy>
  <cp:revision>27</cp:revision>
  <cp:lastPrinted>2026-05-05T10:01:00Z</cp:lastPrinted>
  <dcterms:created xsi:type="dcterms:W3CDTF">2026-04-21T12:55:00Z</dcterms:created>
  <dcterms:modified xsi:type="dcterms:W3CDTF">2026-05-05T10:01:00Z</dcterms:modified>
</cp:coreProperties>
</file>